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FB31F3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CFF51B4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613CED" w:rsidRPr="00613CED">
        <w:rPr>
          <w:b/>
          <w:sz w:val="24"/>
          <w:szCs w:val="24"/>
          <w:lang w:val="ro-RO"/>
        </w:rPr>
        <w:t>150101</w:t>
      </w:r>
      <w:r w:rsidR="00613CED">
        <w:rPr>
          <w:b/>
          <w:sz w:val="24"/>
          <w:szCs w:val="24"/>
          <w:lang w:val="ro-RO"/>
        </w:rPr>
        <w:t xml:space="preserve"> „</w:t>
      </w:r>
      <w:r w:rsidR="00613CED" w:rsidRPr="00613CED">
        <w:rPr>
          <w:b/>
          <w:sz w:val="24"/>
          <w:szCs w:val="24"/>
          <w:lang w:val="ro-RO"/>
        </w:rPr>
        <w:t xml:space="preserve">Optimizarea diagnosticului formelor clinice ale </w:t>
      </w:r>
      <w:bookmarkStart w:id="2" w:name="_Hlk223079508"/>
      <w:r w:rsidR="00613CED" w:rsidRPr="00613CED">
        <w:rPr>
          <w:b/>
          <w:sz w:val="24"/>
          <w:szCs w:val="24"/>
          <w:lang w:val="ro-RO"/>
        </w:rPr>
        <w:t>artritei psoriazice</w:t>
      </w:r>
      <w:bookmarkEnd w:id="2"/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613CED" w:rsidRPr="00613CED">
        <w:rPr>
          <w:b/>
          <w:sz w:val="24"/>
          <w:szCs w:val="24"/>
          <w:lang w:val="ro-RO"/>
        </w:rPr>
        <w:t>Russu Eugeniu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3CED" w:rsidRPr="00613CED">
        <w:rPr>
          <w:b/>
          <w:sz w:val="24"/>
          <w:szCs w:val="24"/>
          <w:lang w:val="ro-RO"/>
        </w:rPr>
        <w:t>Spitalul Clinic Republican ”Timofei Moșneaga”</w:t>
      </w:r>
      <w:bookmarkStart w:id="3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4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FE4513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4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FE4513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3F468263" w:rsidR="00D70852" w:rsidRDefault="00FB31F3" w:rsidP="0012402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5" w:name="_Hlk160629965"/>
      <w:r w:rsidRPr="00FB31F3">
        <w:rPr>
          <w:bCs/>
          <w:sz w:val="24"/>
          <w:szCs w:val="24"/>
          <w:lang w:val="ro-RO"/>
        </w:rPr>
        <w:t>Scopul și obiectivele studiului pentru etapa 2025 a</w:t>
      </w:r>
      <w:r>
        <w:rPr>
          <w:bCs/>
          <w:sz w:val="24"/>
          <w:szCs w:val="24"/>
          <w:lang w:val="ro-RO"/>
        </w:rPr>
        <w:t>u</w:t>
      </w:r>
      <w:r w:rsidRPr="00FB31F3">
        <w:rPr>
          <w:bCs/>
          <w:sz w:val="24"/>
          <w:szCs w:val="24"/>
          <w:lang w:val="ro-RO"/>
        </w:rPr>
        <w:t xml:space="preserve"> fost atins</w:t>
      </w:r>
      <w:r>
        <w:rPr>
          <w:bCs/>
          <w:sz w:val="24"/>
          <w:szCs w:val="24"/>
          <w:lang w:val="ro-RO"/>
        </w:rPr>
        <w:t>e.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5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6209A930" w:rsidR="00557C3B" w:rsidRDefault="00FB31F3" w:rsidP="007D10E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FB31F3">
        <w:rPr>
          <w:bCs/>
          <w:sz w:val="24"/>
          <w:szCs w:val="24"/>
          <w:lang w:val="ro-RO"/>
        </w:rPr>
        <w:t>Au fost editate 9 lucrări științifice dintre care 1 monografie științifică națională, 6 articole în reviste internaționale indexate, 1 articol într-o revistă științifică internațională recunoscută, 1 articol în revista națională de profil (categoria B).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4C672AFC" w14:textId="3EF080F1" w:rsidR="00FB31F3" w:rsidRDefault="00FB31F3" w:rsidP="007E52B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FB31F3">
        <w:rPr>
          <w:bCs/>
          <w:sz w:val="24"/>
          <w:szCs w:val="24"/>
          <w:lang w:val="ro-RO"/>
        </w:rPr>
        <w:t xml:space="preserve">Impactul social și economic al rezultatelor se atinge prin îmbunătățirea diagnosticului </w:t>
      </w:r>
      <w:r w:rsidR="00DB5897">
        <w:rPr>
          <w:bCs/>
          <w:sz w:val="24"/>
          <w:szCs w:val="24"/>
          <w:lang w:val="ro-RO"/>
        </w:rPr>
        <w:t xml:space="preserve">și tratamentului </w:t>
      </w:r>
      <w:r w:rsidRPr="00FB31F3">
        <w:rPr>
          <w:bCs/>
          <w:sz w:val="24"/>
          <w:szCs w:val="24"/>
          <w:lang w:val="ro-RO"/>
        </w:rPr>
        <w:t>precoce al artritei psoriazice, ceea ce pot preveni pierderea productivității și pot reduce costurile pe termen lung asociate dizabilității și tratamentelor tardive.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59D3DAB" w14:textId="07F0635A" w:rsidR="001C5616" w:rsidRDefault="0038354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38354F">
        <w:rPr>
          <w:bCs/>
          <w:sz w:val="24"/>
          <w:szCs w:val="24"/>
          <w:lang w:val="ro-RO"/>
        </w:rPr>
        <w:t xml:space="preserve">Ponderea tinerilor din numărul total al executorilor - </w:t>
      </w:r>
      <w:r w:rsidR="00120DC0">
        <w:rPr>
          <w:bCs/>
          <w:sz w:val="24"/>
          <w:szCs w:val="24"/>
          <w:lang w:val="ro-RO"/>
        </w:rPr>
        <w:t>4</w:t>
      </w:r>
      <w:r w:rsidR="00DD7BFF">
        <w:rPr>
          <w:bCs/>
          <w:sz w:val="24"/>
          <w:szCs w:val="24"/>
          <w:lang w:val="ro-RO"/>
        </w:rPr>
        <w:t>0</w:t>
      </w:r>
      <w:r w:rsidRPr="0038354F">
        <w:rPr>
          <w:bCs/>
          <w:sz w:val="24"/>
          <w:szCs w:val="24"/>
          <w:lang w:val="ro-RO"/>
        </w:rPr>
        <w:t>%</w:t>
      </w:r>
      <w:r>
        <w:rPr>
          <w:bCs/>
          <w:sz w:val="24"/>
          <w:szCs w:val="24"/>
          <w:lang w:val="ro-RO"/>
        </w:rPr>
        <w:t>.</w:t>
      </w:r>
      <w:r w:rsidRPr="0038354F">
        <w:rPr>
          <w:bCs/>
          <w:sz w:val="24"/>
          <w:szCs w:val="24"/>
          <w:lang w:val="ro-RO"/>
        </w:rPr>
        <w:t xml:space="preserve"> </w:t>
      </w:r>
    </w:p>
    <w:p w14:paraId="2C201D35" w14:textId="77777777" w:rsidR="00120DC0" w:rsidRPr="00A75D1C" w:rsidRDefault="00120DC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03F03B5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120DC0">
        <w:rPr>
          <w:b/>
          <w:i/>
          <w:iCs/>
          <w:sz w:val="24"/>
          <w:szCs w:val="24"/>
          <w:lang w:val="ro-RO"/>
        </w:rPr>
        <w:t>2</w:t>
      </w:r>
      <w:r w:rsidR="00E43D7E">
        <w:rPr>
          <w:b/>
          <w:i/>
          <w:iCs/>
          <w:sz w:val="24"/>
          <w:szCs w:val="24"/>
          <w:lang w:val="ro-RO"/>
        </w:rPr>
        <w:t>9,8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6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DC64218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0500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6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1AED" w14:textId="77777777" w:rsidR="002077AC" w:rsidRDefault="002077AC" w:rsidP="007204DD">
      <w:r>
        <w:separator/>
      </w:r>
    </w:p>
  </w:endnote>
  <w:endnote w:type="continuationSeparator" w:id="0">
    <w:p w14:paraId="4FAFC8F0" w14:textId="77777777" w:rsidR="002077AC" w:rsidRDefault="002077AC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476D" w14:textId="77777777" w:rsidR="002077AC" w:rsidRDefault="002077AC" w:rsidP="007204DD">
      <w:r>
        <w:separator/>
      </w:r>
    </w:p>
  </w:footnote>
  <w:footnote w:type="continuationSeparator" w:id="0">
    <w:p w14:paraId="21C76F77" w14:textId="77777777" w:rsidR="002077AC" w:rsidRDefault="002077AC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D18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436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0DC0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3C2"/>
    <w:rsid w:val="001E7E22"/>
    <w:rsid w:val="001F4D3D"/>
    <w:rsid w:val="00203078"/>
    <w:rsid w:val="002031D4"/>
    <w:rsid w:val="00204310"/>
    <w:rsid w:val="002077AC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44CA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54F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A4D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231F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2201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C1F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3CED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368FA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10EE"/>
    <w:rsid w:val="007D2EFB"/>
    <w:rsid w:val="007D50F5"/>
    <w:rsid w:val="007E13C3"/>
    <w:rsid w:val="007E1539"/>
    <w:rsid w:val="007E1827"/>
    <w:rsid w:val="007E1E8F"/>
    <w:rsid w:val="007E2D07"/>
    <w:rsid w:val="007E52BF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00E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1CA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C8C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602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09B2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4F57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45882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5897"/>
    <w:rsid w:val="00DB7190"/>
    <w:rsid w:val="00DD2484"/>
    <w:rsid w:val="00DD5333"/>
    <w:rsid w:val="00DD7BFF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D7B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361C7"/>
    <w:rsid w:val="00E402D8"/>
    <w:rsid w:val="00E4031D"/>
    <w:rsid w:val="00E4039E"/>
    <w:rsid w:val="00E413EC"/>
    <w:rsid w:val="00E421EE"/>
    <w:rsid w:val="00E43B7E"/>
    <w:rsid w:val="00E43D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0F20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B31F3"/>
    <w:rsid w:val="00FC450A"/>
    <w:rsid w:val="00FD2E97"/>
    <w:rsid w:val="00FD589F"/>
    <w:rsid w:val="00FE0CA4"/>
    <w:rsid w:val="00FE1525"/>
    <w:rsid w:val="00FE1CD8"/>
    <w:rsid w:val="00FE4513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374</Words>
  <Characters>2171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403</cp:revision>
  <cp:lastPrinted>2016-04-12T06:18:00Z</cp:lastPrinted>
  <dcterms:created xsi:type="dcterms:W3CDTF">2019-05-04T11:45:00Z</dcterms:created>
  <dcterms:modified xsi:type="dcterms:W3CDTF">2026-02-27T08:14:00Z</dcterms:modified>
</cp:coreProperties>
</file>