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78DCAF27" w14:textId="77777777" w:rsidTr="000F7B20">
        <w:tc>
          <w:tcPr>
            <w:tcW w:w="3794" w:type="dxa"/>
          </w:tcPr>
          <w:p w14:paraId="2AA21BE9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815758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5A4A017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42670F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31C8ABE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7A78175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6C24043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CC2F1B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DC01928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1947F11D" wp14:editId="77F9A11A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6D91C9E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CFC845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4E6E6941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CC8C66A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3D70CE9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BB32B7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139814B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C5F235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45385B7C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E1A88A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1CE058F" w14:textId="77777777" w:rsidR="00D63D45" w:rsidRPr="00D92763" w:rsidRDefault="00D63D45" w:rsidP="00D63D45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6A8A8B5C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6B25E92B" w14:textId="77777777" w:rsidR="000754C5" w:rsidRPr="00794698" w:rsidRDefault="00AF12D7" w:rsidP="000754C5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805EE7">
        <w:rPr>
          <w:b/>
          <w:lang w:val="ro-RO"/>
        </w:rPr>
        <w:t xml:space="preserve">final </w:t>
      </w:r>
      <w:r w:rsidRPr="00170D30">
        <w:rPr>
          <w:b/>
          <w:lang w:val="ro-RO"/>
        </w:rPr>
        <w:t xml:space="preserve">pe proiectul </w:t>
      </w:r>
      <w:r w:rsidR="00F35479" w:rsidRPr="00170D30">
        <w:rPr>
          <w:rFonts w:eastAsiaTheme="minorHAnsi"/>
          <w:b/>
          <w:kern w:val="2"/>
          <w:lang w:val="ro-MD"/>
          <w14:ligatures w14:val="standardContextual"/>
        </w:rPr>
        <w:t xml:space="preserve">23.70105.7007.09 </w:t>
      </w:r>
      <w:r w:rsidR="00805EE7" w:rsidRPr="00805EE7">
        <w:rPr>
          <w:b/>
          <w:bCs/>
          <w:lang w:val="en-US"/>
        </w:rPr>
        <w:t>“</w:t>
      </w:r>
      <w:r w:rsidR="00805EE7" w:rsidRPr="00805EE7">
        <w:rPr>
          <w:rFonts w:eastAsiaTheme="minorHAnsi"/>
          <w:b/>
          <w:bCs/>
          <w:color w:val="000000" w:themeColor="text1"/>
          <w:kern w:val="2"/>
          <w:shd w:val="clear" w:color="auto" w:fill="FFFFFF"/>
          <w:lang w:val="ro-MD"/>
          <w14:ligatures w14:val="standardContextual"/>
        </w:rPr>
        <w:t>Studiul privind potențialul și sursele de congelare și trigenerare din Moldova în baza resurselor locale și regenerabile (Energy4Free)</w:t>
      </w:r>
      <w:r w:rsidR="00805EE7" w:rsidRPr="00805EE7">
        <w:rPr>
          <w:b/>
          <w:bCs/>
          <w:lang w:val="ro-RO"/>
        </w:rPr>
        <w:t>”</w:t>
      </w:r>
      <w:r w:rsidR="00805EE7" w:rsidRPr="00805EE7">
        <w:rPr>
          <w:rFonts w:eastAsia="Calibri"/>
          <w:b/>
          <w:bCs/>
          <w:color w:val="000000"/>
          <w:lang w:val="ro-RO" w:eastAsia="en-US"/>
        </w:rPr>
        <w:t>,</w:t>
      </w:r>
      <w:r w:rsidR="00805EE7" w:rsidRPr="00170D30">
        <w:rPr>
          <w:rFonts w:eastAsia="Calibri"/>
          <w:color w:val="000000"/>
          <w:lang w:val="ro-RO" w:eastAsia="en-US"/>
        </w:rPr>
        <w:t xml:space="preserve"> </w:t>
      </w:r>
      <w:r w:rsidRPr="00170D30">
        <w:rPr>
          <w:b/>
          <w:lang w:val="ro-RO"/>
        </w:rPr>
        <w:t xml:space="preserve">din cadrul </w:t>
      </w:r>
      <w:bookmarkStart w:id="0" w:name="_Hlk91045286"/>
      <w:r w:rsidR="00EB678A" w:rsidRPr="00170D30">
        <w:rPr>
          <w:b/>
          <w:bCs/>
          <w:lang w:val="ro-MD"/>
        </w:rPr>
        <w:t xml:space="preserve">concursului </w:t>
      </w:r>
      <w:r w:rsidR="00794698" w:rsidRPr="00170D30">
        <w:rPr>
          <w:b/>
          <w:bCs/>
          <w:lang w:val="ro-MD"/>
        </w:rPr>
        <w:t>”Reziliența Republicii Moldova la situații de criză”</w:t>
      </w:r>
      <w:r w:rsidR="00BE0CB7" w:rsidRPr="00170D30">
        <w:rPr>
          <w:b/>
          <w:lang w:val="ro-RO"/>
        </w:rPr>
        <w:t xml:space="preserve">, </w:t>
      </w:r>
      <w:r w:rsidRPr="00170D30">
        <w:rPr>
          <w:b/>
          <w:lang w:val="ro-RO"/>
        </w:rPr>
        <w:t>conducătorul proiectului</w:t>
      </w:r>
      <w:r w:rsidR="00941AD9">
        <w:rPr>
          <w:b/>
          <w:lang w:val="ro-RO"/>
        </w:rPr>
        <w:t>:</w:t>
      </w:r>
      <w:r w:rsidRPr="00794698">
        <w:rPr>
          <w:b/>
          <w:lang w:val="ro-RO"/>
        </w:rPr>
        <w:t xml:space="preserve"> </w:t>
      </w:r>
      <w:r w:rsidR="000808E3" w:rsidRPr="00794698">
        <w:rPr>
          <w:b/>
          <w:lang w:val="ro-RO"/>
        </w:rPr>
        <w:t>dr</w:t>
      </w:r>
      <w:r w:rsidR="00D65215" w:rsidRPr="00794698">
        <w:rPr>
          <w:b/>
          <w:lang w:val="ro-RO"/>
        </w:rPr>
        <w:t xml:space="preserve">. </w:t>
      </w:r>
      <w:r w:rsidR="00F35479">
        <w:rPr>
          <w:b/>
          <w:lang w:val="ro-RO"/>
        </w:rPr>
        <w:t>TÎRȘU Mihai</w:t>
      </w:r>
      <w:r w:rsidR="00537088" w:rsidRPr="00794698">
        <w:rPr>
          <w:b/>
          <w:lang w:val="ro-RO"/>
        </w:rPr>
        <w:t xml:space="preserve">, </w:t>
      </w:r>
      <w:r w:rsidR="00D5674A" w:rsidRPr="00794698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EF6AB5" w:rsidRPr="00794698">
        <w:rPr>
          <w:b/>
          <w:color w:val="000000" w:themeColor="text1"/>
          <w:shd w:val="clear" w:color="auto" w:fill="FFFFFF"/>
          <w:lang w:val="ro-MD"/>
        </w:rPr>
        <w:t>Energetică</w:t>
      </w:r>
      <w:r w:rsidR="00D5674A" w:rsidRPr="00794698">
        <w:rPr>
          <w:b/>
          <w:color w:val="000000" w:themeColor="text1"/>
          <w:shd w:val="clear" w:color="auto" w:fill="FFFFFF"/>
          <w:lang w:val="ro-MD"/>
        </w:rPr>
        <w:t>, U</w:t>
      </w:r>
      <w:r w:rsidR="00EF6AB5" w:rsidRPr="00794698">
        <w:rPr>
          <w:b/>
          <w:color w:val="000000" w:themeColor="text1"/>
          <w:shd w:val="clear" w:color="auto" w:fill="FFFFFF"/>
          <w:lang w:val="ro-MD"/>
        </w:rPr>
        <w:t>T</w:t>
      </w:r>
      <w:r w:rsidR="00D5674A" w:rsidRPr="00794698">
        <w:rPr>
          <w:b/>
          <w:color w:val="000000" w:themeColor="text1"/>
          <w:shd w:val="clear" w:color="auto" w:fill="FFFFFF"/>
          <w:lang w:val="ro-MD"/>
        </w:rPr>
        <w:t>M</w:t>
      </w:r>
      <w:r w:rsidR="004C58EC" w:rsidRPr="00794698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794698">
        <w:rPr>
          <w:b/>
          <w:lang w:val="ro-RO"/>
        </w:rPr>
        <w:t>(</w:t>
      </w:r>
      <w:r w:rsidR="00794698" w:rsidRPr="00794698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Prioritatea III:</w:t>
      </w:r>
      <w:r w:rsidR="00F35479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 xml:space="preserve"> </w:t>
      </w:r>
      <w:r w:rsidR="00794698" w:rsidRPr="00794698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Biotehnologii și Protecția Mediului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 xml:space="preserve">, </w:t>
      </w:r>
      <w:bookmarkEnd w:id="0"/>
      <w:r w:rsidR="000754C5" w:rsidRPr="00BE2FC2">
        <w:rPr>
          <w:b/>
          <w:lang w:val="ro-RO"/>
        </w:rPr>
        <w:t xml:space="preserve">perfectat în baza audierii raportului științific </w:t>
      </w:r>
      <w:r w:rsidR="000754C5">
        <w:rPr>
          <w:b/>
          <w:lang w:val="ro-RO"/>
        </w:rPr>
        <w:t>și a concluziilor experților confidențiali (Biroul Secției Științe Exacte și Inginerești Nr. 4 din 10 martie 2026)</w:t>
      </w:r>
    </w:p>
    <w:p w14:paraId="579862F4" w14:textId="77777777" w:rsidR="00186652" w:rsidRDefault="00186652" w:rsidP="00186652">
      <w:pPr>
        <w:jc w:val="both"/>
        <w:rPr>
          <w:b/>
          <w:lang w:val="ro-RO"/>
        </w:rPr>
      </w:pPr>
    </w:p>
    <w:p w14:paraId="0C1907EE" w14:textId="7F38014E" w:rsidR="00186652" w:rsidRPr="00901834" w:rsidRDefault="00823299" w:rsidP="00C56EEB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4D457E">
        <w:rPr>
          <w:b/>
          <w:lang w:val="ro-RO"/>
        </w:rPr>
        <w:t>Atingerea scopului și obiectivelor, exprimate prin rezultatele obținute</w:t>
      </w:r>
      <w:r w:rsidRPr="004D457E">
        <w:rPr>
          <w:bCs/>
          <w:i/>
          <w:iCs/>
          <w:lang w:val="ro-RO"/>
        </w:rPr>
        <w:t xml:space="preserve"> </w:t>
      </w:r>
      <w:r w:rsidR="004D457E">
        <w:rPr>
          <w:bCs/>
          <w:lang w:val="ro-RO"/>
        </w:rPr>
        <w:t>(calificativul</w:t>
      </w:r>
      <w:r w:rsidR="00186652" w:rsidRPr="004D457E">
        <w:rPr>
          <w:bCs/>
          <w:lang w:val="ro-RO"/>
        </w:rPr>
        <w:t xml:space="preserve"> </w:t>
      </w:r>
      <w:r w:rsidR="00186652" w:rsidRPr="004D457E">
        <w:rPr>
          <w:lang w:val="ro-RO"/>
        </w:rPr>
        <w:t>“</w:t>
      </w:r>
      <w:r w:rsidR="002C0AA4" w:rsidRPr="004D457E">
        <w:rPr>
          <w:lang w:val="ro-RO"/>
        </w:rPr>
        <w:t xml:space="preserve">foarte </w:t>
      </w:r>
      <w:r w:rsidR="00187E82" w:rsidRPr="004D457E">
        <w:rPr>
          <w:lang w:val="ro-RO"/>
        </w:rPr>
        <w:t>bine</w:t>
      </w:r>
      <w:r w:rsidR="00186652" w:rsidRPr="004D457E">
        <w:rPr>
          <w:lang w:val="ro-RO"/>
        </w:rPr>
        <w:t>”</w:t>
      </w:r>
      <w:r w:rsidR="004D457E">
        <w:rPr>
          <w:lang w:val="ro-RO"/>
        </w:rPr>
        <w:t>)</w:t>
      </w:r>
    </w:p>
    <w:p w14:paraId="56AE8424" w14:textId="5679A937" w:rsidR="00901834" w:rsidRPr="007F71D4" w:rsidRDefault="00901834" w:rsidP="00C56EE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901834">
        <w:rPr>
          <w:rFonts w:asciiTheme="majorBidi" w:hAnsiTheme="majorBidi" w:cstheme="majorBidi"/>
          <w:color w:val="000000"/>
          <w:lang w:val="ro-RO"/>
        </w:rPr>
        <w:t>Au fost dezvoltate mai multe scenarii de analiză a dezvoltării capacit</w:t>
      </w:r>
      <w:r>
        <w:rPr>
          <w:rFonts w:asciiTheme="majorBidi" w:hAnsiTheme="majorBidi" w:cstheme="majorBidi"/>
          <w:color w:val="000000"/>
          <w:lang w:val="ro-RO"/>
        </w:rPr>
        <w:t>ăț</w:t>
      </w:r>
      <w:r w:rsidRPr="00901834">
        <w:rPr>
          <w:rFonts w:asciiTheme="majorBidi" w:hAnsiTheme="majorBidi" w:cstheme="majorBidi"/>
          <w:color w:val="000000"/>
          <w:lang w:val="ro-RO"/>
        </w:rPr>
        <w:t>ilor de instala</w:t>
      </w:r>
      <w:r>
        <w:rPr>
          <w:rFonts w:asciiTheme="majorBidi" w:hAnsiTheme="majorBidi" w:cstheme="majorBidi"/>
          <w:color w:val="000000"/>
          <w:lang w:val="ro-RO"/>
        </w:rPr>
        <w:t>ț</w:t>
      </w:r>
      <w:r w:rsidRPr="00901834">
        <w:rPr>
          <w:rFonts w:asciiTheme="majorBidi" w:hAnsiTheme="majorBidi" w:cstheme="majorBidi"/>
          <w:color w:val="000000"/>
          <w:lang w:val="ro-RO"/>
        </w:rPr>
        <w:t>ii eoliene</w:t>
      </w:r>
      <w:r>
        <w:rPr>
          <w:rFonts w:asciiTheme="majorBidi" w:hAnsiTheme="majorBidi" w:cstheme="majorBidi"/>
          <w:color w:val="000000"/>
          <w:lang w:val="ro-RO"/>
        </w:rPr>
        <w:t xml:space="preserve">, a fost </w:t>
      </w:r>
      <w:r w:rsidRPr="00901834">
        <w:rPr>
          <w:rFonts w:asciiTheme="majorBidi" w:hAnsiTheme="majorBidi" w:cstheme="majorBidi"/>
          <w:color w:val="000000"/>
          <w:lang w:val="ro-RO"/>
        </w:rPr>
        <w:t>stabilit</w:t>
      </w:r>
      <w:r>
        <w:rPr>
          <w:rFonts w:asciiTheme="majorBidi" w:hAnsiTheme="majorBidi" w:cstheme="majorBidi"/>
          <w:color w:val="000000"/>
          <w:lang w:val="ro-RO"/>
        </w:rPr>
        <w:t>ă</w:t>
      </w:r>
      <w:r w:rsidRPr="00901834">
        <w:rPr>
          <w:rFonts w:asciiTheme="majorBidi" w:hAnsiTheme="majorBidi" w:cstheme="majorBidi"/>
          <w:color w:val="000000"/>
          <w:lang w:val="ro-RO"/>
        </w:rPr>
        <w:t xml:space="preserve"> capacitatea instala</w:t>
      </w:r>
      <w:r>
        <w:rPr>
          <w:rFonts w:asciiTheme="majorBidi" w:hAnsiTheme="majorBidi" w:cstheme="majorBidi"/>
          <w:color w:val="000000"/>
          <w:lang w:val="ro-RO"/>
        </w:rPr>
        <w:t>ț</w:t>
      </w:r>
      <w:r w:rsidRPr="00901834">
        <w:rPr>
          <w:rFonts w:asciiTheme="majorBidi" w:hAnsiTheme="majorBidi" w:cstheme="majorBidi"/>
          <w:color w:val="000000"/>
          <w:lang w:val="ro-RO"/>
        </w:rPr>
        <w:t>iilor eoliene în func</w:t>
      </w:r>
      <w:r>
        <w:rPr>
          <w:rFonts w:asciiTheme="majorBidi" w:hAnsiTheme="majorBidi" w:cstheme="majorBidi"/>
          <w:color w:val="000000"/>
          <w:lang w:val="ro-RO"/>
        </w:rPr>
        <w:t>ț</w:t>
      </w:r>
      <w:r w:rsidRPr="00901834">
        <w:rPr>
          <w:rFonts w:asciiTheme="majorBidi" w:hAnsiTheme="majorBidi" w:cstheme="majorBidi"/>
          <w:color w:val="000000"/>
          <w:lang w:val="ro-RO"/>
        </w:rPr>
        <w:t xml:space="preserve">ie de capacitatea nodului de rețea și a pierderilor de putere </w:t>
      </w:r>
      <w:r>
        <w:rPr>
          <w:rFonts w:asciiTheme="majorBidi" w:hAnsiTheme="majorBidi" w:cstheme="majorBidi"/>
          <w:color w:val="000000"/>
          <w:lang w:val="ro-RO"/>
        </w:rPr>
        <w:t>în</w:t>
      </w:r>
      <w:r w:rsidRPr="00901834">
        <w:rPr>
          <w:rFonts w:asciiTheme="majorBidi" w:hAnsiTheme="majorBidi" w:cstheme="majorBidi"/>
          <w:color w:val="000000"/>
          <w:lang w:val="ro-RO"/>
        </w:rPr>
        <w:t xml:space="preserve"> func</w:t>
      </w:r>
      <w:r>
        <w:rPr>
          <w:rFonts w:asciiTheme="majorBidi" w:hAnsiTheme="majorBidi" w:cstheme="majorBidi"/>
          <w:color w:val="000000"/>
          <w:lang w:val="ro-RO"/>
        </w:rPr>
        <w:t>ț</w:t>
      </w:r>
      <w:r w:rsidRPr="00901834">
        <w:rPr>
          <w:rFonts w:asciiTheme="majorBidi" w:hAnsiTheme="majorBidi" w:cstheme="majorBidi"/>
          <w:color w:val="000000"/>
          <w:lang w:val="ro-RO"/>
        </w:rPr>
        <w:t xml:space="preserve">ie de locul </w:t>
      </w:r>
      <w:r>
        <w:rPr>
          <w:rFonts w:asciiTheme="majorBidi" w:hAnsiTheme="majorBidi" w:cstheme="majorBidi"/>
          <w:color w:val="000000"/>
          <w:lang w:val="ro-RO"/>
        </w:rPr>
        <w:t>ș</w:t>
      </w:r>
      <w:r w:rsidRPr="00901834">
        <w:rPr>
          <w:rFonts w:asciiTheme="majorBidi" w:hAnsiTheme="majorBidi" w:cstheme="majorBidi"/>
          <w:color w:val="000000"/>
          <w:lang w:val="ro-RO"/>
        </w:rPr>
        <w:t>i nodul de</w:t>
      </w:r>
      <w:r>
        <w:rPr>
          <w:rFonts w:asciiTheme="majorBidi" w:hAnsiTheme="majorBidi" w:cstheme="majorBidi"/>
          <w:color w:val="000000"/>
          <w:lang w:val="ro-RO"/>
        </w:rPr>
        <w:t xml:space="preserve"> rețea </w:t>
      </w:r>
      <w:r w:rsidRPr="00901834">
        <w:rPr>
          <w:rFonts w:asciiTheme="majorBidi" w:hAnsiTheme="majorBidi" w:cstheme="majorBidi"/>
          <w:color w:val="000000"/>
          <w:lang w:val="ro-RO"/>
        </w:rPr>
        <w:t>unde sunt conectate.</w:t>
      </w:r>
    </w:p>
    <w:p w14:paraId="62D7C6F5" w14:textId="120F4215" w:rsidR="007F71D4" w:rsidRPr="00700E69" w:rsidRDefault="007F71D4" w:rsidP="00C56EEB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Theme="majorBidi" w:hAnsiTheme="majorBidi" w:cstheme="majorBidi"/>
          <w:color w:val="000000"/>
          <w:lang w:val="ro-RO"/>
        </w:rPr>
      </w:pPr>
      <w:r w:rsidRPr="007F71D4">
        <w:rPr>
          <w:rFonts w:asciiTheme="majorBidi" w:hAnsiTheme="majorBidi" w:cstheme="majorBidi"/>
          <w:color w:val="000000"/>
          <w:lang w:val="ro-RO"/>
        </w:rPr>
        <w:t xml:space="preserve">A fost estimat </w:t>
      </w:r>
      <w:r w:rsidRPr="00700E69">
        <w:rPr>
          <w:rFonts w:asciiTheme="majorBidi" w:hAnsiTheme="majorBidi" w:cstheme="majorBidi"/>
          <w:color w:val="000000"/>
          <w:lang w:val="ro-RO"/>
        </w:rPr>
        <w:t>potențialul de biomasă disponibil pe regiuni în funcție de tipul culturii și energia obținută la convertizarea acestei biomase în singaz.</w:t>
      </w:r>
    </w:p>
    <w:p w14:paraId="08B1F0B8" w14:textId="48F57449" w:rsidR="00901834" w:rsidRPr="0029106E" w:rsidRDefault="001C6F96" w:rsidP="00C56EE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700E69">
        <w:rPr>
          <w:rFonts w:asciiTheme="majorBidi" w:hAnsiTheme="majorBidi" w:cstheme="majorBidi"/>
          <w:color w:val="000000"/>
          <w:lang w:val="ro-RO"/>
        </w:rPr>
        <w:t xml:space="preserve">A fost estimată capacitatea sistemelor centralizate de încălzire în cele 32 de raioane ale Republicii Moldova, luând în calcul clădirile rezidențiale și publice, </w:t>
      </w:r>
      <w:r w:rsidR="00700E69" w:rsidRPr="00700E69">
        <w:rPr>
          <w:rFonts w:asciiTheme="majorBidi" w:hAnsiTheme="majorBidi" w:cstheme="majorBidi"/>
          <w:color w:val="000000"/>
          <w:lang w:val="ro-RO"/>
        </w:rPr>
        <w:t>precum</w:t>
      </w:r>
      <w:r w:rsidRPr="00700E69">
        <w:rPr>
          <w:rFonts w:asciiTheme="majorBidi" w:hAnsiTheme="majorBidi" w:cstheme="majorBidi"/>
          <w:color w:val="000000"/>
          <w:lang w:val="ro-RO"/>
        </w:rPr>
        <w:t xml:space="preserve"> </w:t>
      </w:r>
      <w:r w:rsidR="00700E69">
        <w:rPr>
          <w:rFonts w:asciiTheme="majorBidi" w:hAnsiTheme="majorBidi" w:cstheme="majorBidi"/>
          <w:color w:val="000000"/>
          <w:lang w:val="ro-RO"/>
        </w:rPr>
        <w:t>ș</w:t>
      </w:r>
      <w:r w:rsidRPr="00700E69">
        <w:rPr>
          <w:rFonts w:asciiTheme="majorBidi" w:hAnsiTheme="majorBidi" w:cstheme="majorBidi"/>
          <w:color w:val="000000"/>
          <w:lang w:val="ro-RO"/>
        </w:rPr>
        <w:t>i agen</w:t>
      </w:r>
      <w:r w:rsidR="00700E69">
        <w:rPr>
          <w:rFonts w:asciiTheme="majorBidi" w:hAnsiTheme="majorBidi" w:cstheme="majorBidi"/>
          <w:color w:val="000000"/>
          <w:lang w:val="ro-RO"/>
        </w:rPr>
        <w:t>ț</w:t>
      </w:r>
      <w:r w:rsidRPr="00700E69">
        <w:rPr>
          <w:rFonts w:asciiTheme="majorBidi" w:hAnsiTheme="majorBidi" w:cstheme="majorBidi"/>
          <w:color w:val="000000"/>
          <w:lang w:val="ro-RO"/>
        </w:rPr>
        <w:t>ii economici cu consum de energie termică, care pot fi integra</w:t>
      </w:r>
      <w:r w:rsidR="00700E69">
        <w:rPr>
          <w:rFonts w:asciiTheme="majorBidi" w:hAnsiTheme="majorBidi" w:cstheme="majorBidi"/>
          <w:color w:val="000000"/>
          <w:lang w:val="ro-RO"/>
        </w:rPr>
        <w:t>ț</w:t>
      </w:r>
      <w:r w:rsidRPr="00700E69">
        <w:rPr>
          <w:rFonts w:asciiTheme="majorBidi" w:hAnsiTheme="majorBidi" w:cstheme="majorBidi"/>
          <w:color w:val="000000"/>
          <w:lang w:val="ro-RO"/>
        </w:rPr>
        <w:t xml:space="preserve">i la acest sistem. </w:t>
      </w:r>
      <w:r w:rsidRPr="0029106E">
        <w:rPr>
          <w:rFonts w:asciiTheme="majorBidi" w:hAnsiTheme="majorBidi" w:cstheme="majorBidi"/>
          <w:color w:val="000000"/>
          <w:lang w:val="ro-RO"/>
        </w:rPr>
        <w:t>Au fost analizate tipurile de tehnologii posibil de integrat în fiecare sistem centralizat de termoficare.</w:t>
      </w:r>
      <w:r w:rsidR="004A3D70" w:rsidRPr="0029106E">
        <w:rPr>
          <w:rFonts w:asciiTheme="majorBidi" w:hAnsiTheme="majorBidi" w:cstheme="majorBidi"/>
          <w:color w:val="000000"/>
          <w:lang w:val="ro-RO"/>
        </w:rPr>
        <w:t xml:space="preserve"> Tipurile de tehnologii posibil de implementat au fost determinate și pentru sistemele de cogenerare/trigenerare analizate.</w:t>
      </w:r>
    </w:p>
    <w:p w14:paraId="3B145813" w14:textId="76A51C50" w:rsidR="004A3D70" w:rsidRPr="0056745C" w:rsidRDefault="00120199" w:rsidP="00C56EE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29106E">
        <w:rPr>
          <w:rFonts w:asciiTheme="majorBidi" w:hAnsiTheme="majorBidi" w:cstheme="majorBidi"/>
          <w:color w:val="000000"/>
          <w:lang w:val="ro-RO"/>
        </w:rPr>
        <w:t xml:space="preserve">Considerând aceste limitări Au fost calculate investițiile pentru fiecare sistem de termoficare centralizat cu sisteme de cogenerare ținând cont de limitările specifice . Au fost dezvoltate </w:t>
      </w:r>
      <w:r w:rsidR="0029106E">
        <w:rPr>
          <w:rFonts w:asciiTheme="majorBidi" w:hAnsiTheme="majorBidi" w:cstheme="majorBidi"/>
          <w:color w:val="000000"/>
          <w:lang w:val="ro-RO"/>
        </w:rPr>
        <w:t>trei</w:t>
      </w:r>
      <w:r w:rsidRPr="0029106E">
        <w:rPr>
          <w:rFonts w:asciiTheme="majorBidi" w:hAnsiTheme="majorBidi" w:cstheme="majorBidi"/>
          <w:color w:val="000000"/>
          <w:lang w:val="ro-RO"/>
        </w:rPr>
        <w:t xml:space="preserve"> scenarii de sisteme hibride de termoficare</w:t>
      </w:r>
      <w:r w:rsidR="0029106E">
        <w:rPr>
          <w:rFonts w:asciiTheme="majorBidi" w:hAnsiTheme="majorBidi" w:cstheme="majorBidi"/>
          <w:color w:val="000000"/>
          <w:lang w:val="ro-RO"/>
        </w:rPr>
        <w:t>.</w:t>
      </w:r>
      <w:r w:rsidR="002A32B5">
        <w:rPr>
          <w:rFonts w:asciiTheme="majorBidi" w:hAnsiTheme="majorBidi" w:cstheme="majorBidi"/>
          <w:color w:val="000000"/>
          <w:lang w:val="ro-RO"/>
        </w:rPr>
        <w:t xml:space="preserve"> A fost elaborată harta energetică, care permite vizualizarea informațiilor detaliate privind puterea sistemului de termoficare, tehnologiile propuse, energia termică și electrică generată și investițiile pentru toate cele trei scenarii.</w:t>
      </w:r>
    </w:p>
    <w:p w14:paraId="38C97493" w14:textId="77777777" w:rsidR="00DF5EDE" w:rsidRPr="00F5369C" w:rsidRDefault="00DF5EDE" w:rsidP="00C56EEB">
      <w:pPr>
        <w:spacing w:line="276" w:lineRule="auto"/>
        <w:jc w:val="both"/>
        <w:rPr>
          <w:bCs/>
          <w:lang w:val="ro-RO"/>
        </w:rPr>
      </w:pPr>
    </w:p>
    <w:p w14:paraId="2389EF5D" w14:textId="3549DE7E" w:rsidR="00186652" w:rsidRPr="004D457E" w:rsidRDefault="00186652" w:rsidP="00C56EEB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4D457E">
        <w:rPr>
          <w:b/>
          <w:lang w:val="ro-RO"/>
        </w:rPr>
        <w:t>Diseminarea rezultatelor obținute</w:t>
      </w:r>
      <w:r w:rsidRPr="004D457E">
        <w:rPr>
          <w:bCs/>
          <w:lang w:val="ro-RO"/>
        </w:rPr>
        <w:t xml:space="preserve"> </w:t>
      </w:r>
      <w:r w:rsidR="004D457E">
        <w:rPr>
          <w:bCs/>
          <w:lang w:val="ro-RO"/>
        </w:rPr>
        <w:t>(calificativul</w:t>
      </w:r>
      <w:r w:rsidRPr="004D457E">
        <w:rPr>
          <w:bCs/>
          <w:lang w:val="ro-RO"/>
        </w:rPr>
        <w:t xml:space="preserve"> </w:t>
      </w:r>
      <w:bookmarkStart w:id="1" w:name="_Hlk91046624"/>
      <w:r w:rsidRPr="004D457E">
        <w:rPr>
          <w:lang w:val="ro-RO"/>
        </w:rPr>
        <w:t>“</w:t>
      </w:r>
      <w:r w:rsidR="00F15B41" w:rsidRPr="004D457E">
        <w:rPr>
          <w:lang w:val="ro-RO"/>
        </w:rPr>
        <w:t xml:space="preserve">foarte </w:t>
      </w:r>
      <w:r w:rsidR="006E685C" w:rsidRPr="004D457E">
        <w:rPr>
          <w:lang w:val="ro-RO"/>
        </w:rPr>
        <w:t>bine</w:t>
      </w:r>
      <w:r w:rsidRPr="004D457E">
        <w:rPr>
          <w:lang w:val="ro-RO"/>
        </w:rPr>
        <w:t>”</w:t>
      </w:r>
      <w:bookmarkEnd w:id="1"/>
      <w:r w:rsidR="004D457E">
        <w:rPr>
          <w:lang w:val="ro-RO"/>
        </w:rPr>
        <w:t>)</w:t>
      </w:r>
    </w:p>
    <w:p w14:paraId="379B7268" w14:textId="6732315F" w:rsidR="004342E1" w:rsidRPr="00B75DD3" w:rsidRDefault="004342E1" w:rsidP="00C56EEB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rFonts w:eastAsiaTheme="minorEastAsia"/>
          <w:lang w:val="ro-MD" w:eastAsia="zh-CN"/>
        </w:rPr>
        <w:t>articole în reviste din bazele de date</w:t>
      </w:r>
      <w:r w:rsidR="00F5369C" w:rsidRPr="006F6970">
        <w:rPr>
          <w:rFonts w:eastAsiaTheme="minorEastAsia"/>
          <w:lang w:val="ro-MD" w:eastAsia="zh-CN"/>
        </w:rPr>
        <w:t xml:space="preserve"> WoS și Scopus</w:t>
      </w:r>
      <w:r>
        <w:rPr>
          <w:rFonts w:eastAsiaTheme="minorEastAsia"/>
          <w:lang w:val="ro-MD" w:eastAsia="zh-CN"/>
        </w:rPr>
        <w:t xml:space="preserve"> – 1</w:t>
      </w:r>
    </w:p>
    <w:p w14:paraId="336BC084" w14:textId="0C998328" w:rsidR="00765676" w:rsidRPr="00E33400" w:rsidRDefault="00B75DD3" w:rsidP="00C56EEB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lang w:val="ro-RO"/>
        </w:rPr>
      </w:pPr>
      <w:r>
        <w:rPr>
          <w:rFonts w:eastAsiaTheme="minorEastAsia"/>
          <w:lang w:val="ro-MD" w:eastAsia="zh-CN"/>
        </w:rPr>
        <w:t xml:space="preserve">articole în materialele conferințelor </w:t>
      </w:r>
      <w:r w:rsidR="00E33400">
        <w:rPr>
          <w:rFonts w:eastAsiaTheme="minorEastAsia"/>
          <w:lang w:val="ro-MD" w:eastAsia="zh-CN"/>
        </w:rPr>
        <w:t xml:space="preserve">din baza de date Scopus </w:t>
      </w:r>
      <w:r>
        <w:rPr>
          <w:rFonts w:eastAsiaTheme="minorEastAsia"/>
          <w:lang w:val="ro-MD" w:eastAsia="zh-CN"/>
        </w:rPr>
        <w:t xml:space="preserve">– </w:t>
      </w:r>
      <w:r w:rsidR="00E33400">
        <w:rPr>
          <w:rFonts w:eastAsiaTheme="minorEastAsia"/>
          <w:lang w:val="ro-MD" w:eastAsia="zh-CN"/>
        </w:rPr>
        <w:t>5</w:t>
      </w:r>
    </w:p>
    <w:p w14:paraId="784953CB" w14:textId="344D7D28" w:rsidR="00E33400" w:rsidRDefault="00EE0FEE" w:rsidP="00C56EEB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lang w:val="ro-RO"/>
        </w:rPr>
      </w:pPr>
      <w:r>
        <w:rPr>
          <w:lang w:val="ro-RO"/>
        </w:rPr>
        <w:t>a fost organizată o conferință.</w:t>
      </w:r>
    </w:p>
    <w:p w14:paraId="77AD784A" w14:textId="77777777" w:rsidR="00432082" w:rsidRPr="00F5369C" w:rsidRDefault="00432082" w:rsidP="00C56EEB">
      <w:pPr>
        <w:spacing w:line="276" w:lineRule="auto"/>
        <w:jc w:val="both"/>
        <w:rPr>
          <w:bCs/>
          <w:lang w:val="ro-RO"/>
        </w:rPr>
      </w:pPr>
    </w:p>
    <w:p w14:paraId="54ECA784" w14:textId="6A55AD6B" w:rsidR="00E5032C" w:rsidRPr="002054B7" w:rsidRDefault="002E038C" w:rsidP="00C56EEB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2054B7">
        <w:rPr>
          <w:b/>
          <w:lang w:val="ro-RO"/>
        </w:rPr>
        <w:t>Contribuția proiectului la soluționarea situației de criză și reziliența pe problema abordată</w:t>
      </w:r>
      <w:r w:rsidRPr="002054B7">
        <w:rPr>
          <w:bCs/>
          <w:i/>
          <w:iCs/>
          <w:lang w:val="ro-RO"/>
        </w:rPr>
        <w:t xml:space="preserve"> </w:t>
      </w:r>
      <w:r w:rsidR="002054B7">
        <w:rPr>
          <w:bCs/>
          <w:lang w:val="ro-RO"/>
        </w:rPr>
        <w:t>(calificativul</w:t>
      </w:r>
      <w:r w:rsidR="00186652" w:rsidRPr="002054B7">
        <w:rPr>
          <w:bCs/>
          <w:lang w:val="ro-RO"/>
        </w:rPr>
        <w:t xml:space="preserve"> </w:t>
      </w:r>
      <w:r w:rsidR="00186652" w:rsidRPr="002054B7">
        <w:rPr>
          <w:lang w:val="ro-RO"/>
        </w:rPr>
        <w:t>“</w:t>
      </w:r>
      <w:r w:rsidR="00330316">
        <w:rPr>
          <w:lang w:val="ro-RO"/>
        </w:rPr>
        <w:t xml:space="preserve">foarte </w:t>
      </w:r>
      <w:r w:rsidR="006E685C" w:rsidRPr="002054B7">
        <w:rPr>
          <w:lang w:val="ro-RO"/>
        </w:rPr>
        <w:t>bine</w:t>
      </w:r>
      <w:r w:rsidR="00186652" w:rsidRPr="002054B7">
        <w:rPr>
          <w:lang w:val="ro-RO"/>
        </w:rPr>
        <w:t>”</w:t>
      </w:r>
      <w:r w:rsidR="002054B7">
        <w:rPr>
          <w:lang w:val="ro-RO"/>
        </w:rPr>
        <w:t>)</w:t>
      </w:r>
    </w:p>
    <w:p w14:paraId="4E953BEE" w14:textId="398797DB" w:rsidR="00F27FC9" w:rsidRPr="004D5C15" w:rsidRDefault="00E5032C" w:rsidP="00C56E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lang w:val="ro-RO"/>
        </w:rPr>
      </w:pPr>
      <w:r w:rsidRPr="00401CE6">
        <w:rPr>
          <w:rFonts w:eastAsiaTheme="minorEastAsia"/>
          <w:lang w:val="ro-MD" w:eastAsia="zh-CN"/>
        </w:rPr>
        <w:t xml:space="preserve">Proiectul </w:t>
      </w:r>
      <w:r w:rsidR="00FC781D">
        <w:rPr>
          <w:rFonts w:eastAsiaTheme="minorEastAsia"/>
          <w:lang w:val="ro-MD" w:eastAsia="zh-CN"/>
        </w:rPr>
        <w:t xml:space="preserve">poate contribui la soluționarea situațiilor de criză </w:t>
      </w:r>
      <w:r w:rsidR="006F0AF2">
        <w:rPr>
          <w:rFonts w:eastAsiaTheme="minorEastAsia"/>
          <w:lang w:val="ro-MD" w:eastAsia="zh-CN"/>
        </w:rPr>
        <w:t xml:space="preserve">și reziliență </w:t>
      </w:r>
      <w:r w:rsidR="00FC781D">
        <w:rPr>
          <w:rFonts w:eastAsiaTheme="minorEastAsia"/>
          <w:lang w:val="ro-MD" w:eastAsia="zh-CN"/>
        </w:rPr>
        <w:t>în domeniul energetic</w:t>
      </w:r>
      <w:r w:rsidR="00F27FC9" w:rsidRPr="004D5C15">
        <w:rPr>
          <w:rFonts w:eastAsiaTheme="minorEastAsia"/>
          <w:lang w:val="ro-MD" w:eastAsia="zh-CN"/>
        </w:rPr>
        <w:t>.</w:t>
      </w:r>
    </w:p>
    <w:p w14:paraId="4E290655" w14:textId="77777777" w:rsidR="00577DCB" w:rsidRPr="004D5C15" w:rsidRDefault="00577DCB" w:rsidP="00577DCB">
      <w:pPr>
        <w:pStyle w:val="ListParagraph"/>
        <w:ind w:left="644"/>
        <w:rPr>
          <w:lang w:val="ro-RO"/>
        </w:rPr>
      </w:pPr>
    </w:p>
    <w:p w14:paraId="16E4C1CC" w14:textId="4DE6068A" w:rsidR="00186652" w:rsidRPr="004D5C15" w:rsidRDefault="002E038C" w:rsidP="00C56EEB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4D5C15">
        <w:rPr>
          <w:b/>
          <w:lang w:val="ro-RO"/>
        </w:rPr>
        <w:lastRenderedPageBreak/>
        <w:t>Valoarea socio-economică a rezultatelor</w:t>
      </w:r>
      <w:r w:rsidR="00577DCB" w:rsidRPr="004D5C15">
        <w:rPr>
          <w:bCs/>
          <w:i/>
          <w:iCs/>
          <w:lang w:val="ro-RO"/>
        </w:rPr>
        <w:t xml:space="preserve"> </w:t>
      </w:r>
      <w:r w:rsidR="008F6ED5" w:rsidRPr="004D5C15">
        <w:rPr>
          <w:bCs/>
          <w:lang w:val="ro-RO"/>
        </w:rPr>
        <w:t>(calificativul</w:t>
      </w:r>
      <w:r w:rsidR="00186652" w:rsidRPr="004D5C15">
        <w:rPr>
          <w:bCs/>
          <w:lang w:val="ro-RO"/>
        </w:rPr>
        <w:t xml:space="preserve"> ”</w:t>
      </w:r>
      <w:r w:rsidR="006E685C" w:rsidRPr="004D5C15">
        <w:rPr>
          <w:bCs/>
          <w:lang w:val="ro-RO"/>
        </w:rPr>
        <w:t>foarte bine</w:t>
      </w:r>
      <w:r w:rsidR="00186652" w:rsidRPr="004D5C15">
        <w:rPr>
          <w:bCs/>
          <w:lang w:val="ro-RO"/>
        </w:rPr>
        <w:t>”</w:t>
      </w:r>
      <w:r w:rsidR="008F6ED5" w:rsidRPr="004D5C15">
        <w:rPr>
          <w:bCs/>
          <w:lang w:val="ro-RO"/>
        </w:rPr>
        <w:t>)</w:t>
      </w:r>
    </w:p>
    <w:p w14:paraId="60EB7D8F" w14:textId="31975CE5" w:rsidR="00420477" w:rsidRPr="00F5222F" w:rsidRDefault="004D5C15" w:rsidP="00C56E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Theme="minorEastAsia"/>
          <w:lang w:val="ro-RO" w:eastAsia="zh-CN"/>
        </w:rPr>
      </w:pPr>
      <w:r w:rsidRPr="004D5C15">
        <w:rPr>
          <w:rFonts w:eastAsiaTheme="minorEastAsia"/>
          <w:lang w:val="ro-MD" w:eastAsia="zh-CN"/>
        </w:rPr>
        <w:t>E</w:t>
      </w:r>
      <w:r w:rsidR="00D645CC" w:rsidRPr="004D5C15">
        <w:rPr>
          <w:rFonts w:eastAsiaTheme="minorEastAsia"/>
          <w:lang w:val="ro-MD" w:eastAsia="zh-CN"/>
        </w:rPr>
        <w:t xml:space="preserve">stimarea potențialului de eficiență energetică </w:t>
      </w:r>
      <w:r w:rsidRPr="004D5C15">
        <w:rPr>
          <w:rFonts w:eastAsiaTheme="minorEastAsia"/>
          <w:lang w:val="ro-RO" w:eastAsia="zh-CN"/>
        </w:rPr>
        <w:t>pentru</w:t>
      </w:r>
      <w:r w:rsidR="00D645CC" w:rsidRPr="004D5C15">
        <w:rPr>
          <w:rFonts w:eastAsiaTheme="minorEastAsia"/>
          <w:lang w:val="ro-RO" w:eastAsia="zh-CN"/>
        </w:rPr>
        <w:t xml:space="preserve"> sectoarele economiei naționale </w:t>
      </w:r>
      <w:r w:rsidRPr="004D5C15">
        <w:rPr>
          <w:rFonts w:eastAsiaTheme="minorEastAsia"/>
          <w:lang w:val="ro-RO" w:eastAsia="zh-CN"/>
        </w:rPr>
        <w:t>poate sta la baza</w:t>
      </w:r>
      <w:r w:rsidR="00D645CC" w:rsidRPr="004D5C15">
        <w:rPr>
          <w:rFonts w:eastAsiaTheme="minorEastAsia"/>
          <w:lang w:val="ro-RO" w:eastAsia="zh-CN"/>
        </w:rPr>
        <w:t xml:space="preserve"> elabor</w:t>
      </w:r>
      <w:r>
        <w:rPr>
          <w:rFonts w:eastAsiaTheme="minorEastAsia"/>
          <w:lang w:val="ro-RO" w:eastAsia="zh-CN"/>
        </w:rPr>
        <w:t>ării</w:t>
      </w:r>
      <w:r w:rsidR="00D645CC" w:rsidRPr="004D5C15">
        <w:rPr>
          <w:rFonts w:eastAsiaTheme="minorEastAsia"/>
          <w:lang w:val="ro-RO" w:eastAsia="zh-CN"/>
        </w:rPr>
        <w:t xml:space="preserve"> strategiei energetice a Republicii Moldova</w:t>
      </w:r>
      <w:r w:rsidR="00420477" w:rsidRPr="004D5C15">
        <w:rPr>
          <w:rFonts w:eastAsiaTheme="minorEastAsia"/>
          <w:lang w:val="ro-RO" w:eastAsia="zh-CN"/>
        </w:rPr>
        <w:t>.</w:t>
      </w:r>
    </w:p>
    <w:p w14:paraId="301CEA8E" w14:textId="7E5D5E17" w:rsidR="00FC781D" w:rsidRPr="00FC781D" w:rsidRDefault="00420477" w:rsidP="00C56E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Theme="minorEastAsia"/>
          <w:lang w:val="ro-RO" w:eastAsia="zh-CN"/>
        </w:rPr>
      </w:pPr>
      <w:r w:rsidRPr="00F5222F">
        <w:rPr>
          <w:lang w:val="ro-RO"/>
        </w:rPr>
        <w:t>Rezultatele cercetărilor vor permite reducerea necesarului de surse fosile utilizate de consumatori pentru încălzire, diminuarea cheltuielilor pentru energia electrică.</w:t>
      </w:r>
      <w:r w:rsidR="00FC781D">
        <w:rPr>
          <w:lang w:val="ro-RO"/>
        </w:rPr>
        <w:t xml:space="preserve"> Dezvoltarea noilor sisteme centralizate de încălzire va contribui la reducerea costurilor pentru energia termică necesară la încălzirea locuințelor consumatorilor.</w:t>
      </w:r>
    </w:p>
    <w:p w14:paraId="1B0416B1" w14:textId="1328E4F5" w:rsidR="00FC781D" w:rsidRPr="00323720" w:rsidRDefault="004D5C61" w:rsidP="00C56E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Theme="minorEastAsia"/>
          <w:lang w:val="ro-RO" w:eastAsia="zh-CN"/>
        </w:rPr>
      </w:pPr>
      <w:r w:rsidRPr="00F5222F">
        <w:rPr>
          <w:lang w:val="ro-RO"/>
        </w:rPr>
        <w:t>H</w:t>
      </w:r>
      <w:r w:rsidR="00550754" w:rsidRPr="00F5222F">
        <w:rPr>
          <w:rFonts w:asciiTheme="majorBidi" w:hAnsiTheme="majorBidi" w:cstheme="majorBidi"/>
          <w:color w:val="000000"/>
          <w:lang w:val="ro-RO"/>
        </w:rPr>
        <w:t xml:space="preserve">arta energetică elaborată reprezintă un instrument util pentru donatori </w:t>
      </w:r>
      <w:r w:rsidR="00F5222F">
        <w:rPr>
          <w:rFonts w:asciiTheme="majorBidi" w:hAnsiTheme="majorBidi" w:cstheme="majorBidi"/>
          <w:color w:val="000000"/>
          <w:lang w:val="ro-RO"/>
        </w:rPr>
        <w:t>ș</w:t>
      </w:r>
      <w:r w:rsidR="00550754" w:rsidRPr="00F5222F">
        <w:rPr>
          <w:rFonts w:asciiTheme="majorBidi" w:hAnsiTheme="majorBidi" w:cstheme="majorBidi"/>
          <w:color w:val="000000"/>
          <w:lang w:val="ro-RO"/>
        </w:rPr>
        <w:t>i factorii de decizie privind investi</w:t>
      </w:r>
      <w:r w:rsidR="00F5222F">
        <w:rPr>
          <w:rFonts w:asciiTheme="majorBidi" w:hAnsiTheme="majorBidi" w:cstheme="majorBidi"/>
          <w:color w:val="000000"/>
          <w:lang w:val="ro-RO"/>
        </w:rPr>
        <w:t>ț</w:t>
      </w:r>
      <w:r w:rsidR="00550754" w:rsidRPr="00F5222F">
        <w:rPr>
          <w:rFonts w:asciiTheme="majorBidi" w:hAnsiTheme="majorBidi" w:cstheme="majorBidi"/>
          <w:color w:val="000000"/>
          <w:lang w:val="ro-RO"/>
        </w:rPr>
        <w:t xml:space="preserve">iile în decarbonizarea </w:t>
      </w:r>
      <w:r w:rsidR="00F5222F">
        <w:rPr>
          <w:rFonts w:asciiTheme="majorBidi" w:hAnsiTheme="majorBidi" w:cstheme="majorBidi"/>
          <w:color w:val="000000"/>
          <w:lang w:val="ro-RO"/>
        </w:rPr>
        <w:t>ță</w:t>
      </w:r>
      <w:r w:rsidR="00550754" w:rsidRPr="00F5222F">
        <w:rPr>
          <w:rFonts w:asciiTheme="majorBidi" w:hAnsiTheme="majorBidi" w:cstheme="majorBidi"/>
          <w:color w:val="000000"/>
          <w:lang w:val="ro-RO"/>
        </w:rPr>
        <w:t>rii.</w:t>
      </w:r>
    </w:p>
    <w:p w14:paraId="70A83FA3" w14:textId="77777777" w:rsidR="00FC781D" w:rsidRPr="00420477" w:rsidRDefault="00FC781D" w:rsidP="00C56EEB">
      <w:pPr>
        <w:autoSpaceDE w:val="0"/>
        <w:autoSpaceDN w:val="0"/>
        <w:adjustRightInd w:val="0"/>
        <w:spacing w:line="276" w:lineRule="auto"/>
        <w:rPr>
          <w:rFonts w:ascii="ArialMT" w:eastAsiaTheme="minorEastAsia" w:hAnsi="ArialMT" w:cs="ArialMT"/>
          <w:lang w:val="ro-RO" w:eastAsia="zh-CN"/>
        </w:rPr>
      </w:pPr>
    </w:p>
    <w:p w14:paraId="0CBE2187" w14:textId="79BFF061" w:rsidR="002E038C" w:rsidRPr="00753619" w:rsidRDefault="002E038C" w:rsidP="00C56EEB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753619">
        <w:rPr>
          <w:b/>
          <w:lang w:val="ro-RO"/>
        </w:rPr>
        <w:t>Participarea tinerilor în proiect. Colaborarea la nivel interna</w:t>
      </w:r>
      <w:r w:rsidR="00EC1F5E" w:rsidRPr="00753619">
        <w:rPr>
          <w:b/>
          <w:lang w:val="ro-RO"/>
        </w:rPr>
        <w:t>ț</w:t>
      </w:r>
      <w:r w:rsidRPr="00753619">
        <w:rPr>
          <w:b/>
          <w:lang w:val="ro-RO"/>
        </w:rPr>
        <w:t>iona</w:t>
      </w:r>
      <w:r w:rsidR="00EC1F5E" w:rsidRPr="00753619">
        <w:rPr>
          <w:b/>
          <w:lang w:val="ro-RO"/>
        </w:rPr>
        <w:t>l</w:t>
      </w:r>
      <w:r w:rsidRPr="00753619">
        <w:rPr>
          <w:b/>
          <w:lang w:val="ro-RO"/>
        </w:rPr>
        <w:t xml:space="preserve"> și național</w:t>
      </w:r>
      <w:r w:rsidRPr="00753619">
        <w:rPr>
          <w:bCs/>
          <w:i/>
          <w:iCs/>
          <w:lang w:val="ro-RO"/>
        </w:rPr>
        <w:t xml:space="preserve"> </w:t>
      </w:r>
      <w:r w:rsidR="00753619">
        <w:rPr>
          <w:bCs/>
          <w:lang w:val="ro-RO"/>
        </w:rPr>
        <w:t>(calificativul</w:t>
      </w:r>
      <w:r w:rsidRPr="00753619">
        <w:rPr>
          <w:bCs/>
          <w:lang w:val="ro-RO"/>
        </w:rPr>
        <w:t xml:space="preserve"> ”foarte bine”</w:t>
      </w:r>
      <w:r w:rsidR="00753619">
        <w:rPr>
          <w:bCs/>
          <w:lang w:val="ro-RO"/>
        </w:rPr>
        <w:t>)</w:t>
      </w:r>
    </w:p>
    <w:p w14:paraId="751901FF" w14:textId="1A82D01F" w:rsidR="00186652" w:rsidRPr="00C56EEB" w:rsidRDefault="003573F7" w:rsidP="00C56EE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Theme="minorEastAsia"/>
          <w:lang w:val="ro-MD" w:eastAsia="zh-CN"/>
        </w:rPr>
      </w:pPr>
      <w:r>
        <w:rPr>
          <w:rFonts w:eastAsiaTheme="minorEastAsia"/>
          <w:lang w:val="ro-MD" w:eastAsia="zh-CN"/>
        </w:rPr>
        <w:t xml:space="preserve">La nivel național s-a colaborat strâns cu </w:t>
      </w:r>
      <w:r w:rsidR="006F704F">
        <w:rPr>
          <w:rFonts w:eastAsiaTheme="minorEastAsia"/>
          <w:lang w:val="ro-MD" w:eastAsia="zh-CN"/>
        </w:rPr>
        <w:t>Ministerul Energiei, ANRE, Î. S. Moldelectrica, S. A. Termoelectrica, S. A, CET-Nord</w:t>
      </w:r>
      <w:r w:rsidR="002D18EB">
        <w:rPr>
          <w:rFonts w:eastAsiaTheme="minorEastAsia"/>
          <w:lang w:val="ro-MD" w:eastAsia="zh-CN"/>
        </w:rPr>
        <w:t>. La nivel internațional s-a colaborat cu 2 echipe din România și o echipă din Germania. Participarea tinerilor cercetători este de 40 %.</w:t>
      </w:r>
    </w:p>
    <w:p w14:paraId="5B6E7830" w14:textId="77777777" w:rsidR="005E787A" w:rsidRPr="00CB1422" w:rsidRDefault="005E787A" w:rsidP="00C56EEB">
      <w:pPr>
        <w:autoSpaceDE w:val="0"/>
        <w:autoSpaceDN w:val="0"/>
        <w:adjustRightInd w:val="0"/>
        <w:spacing w:line="276" w:lineRule="auto"/>
        <w:ind w:left="284"/>
        <w:rPr>
          <w:rFonts w:eastAsiaTheme="minorEastAsia"/>
          <w:lang w:val="ro-MD" w:eastAsia="zh-CN"/>
        </w:rPr>
      </w:pPr>
    </w:p>
    <w:p w14:paraId="694DC7EA" w14:textId="121AF9A9" w:rsidR="00A546D3" w:rsidRDefault="00A546D3" w:rsidP="00A546D3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330316">
        <w:rPr>
          <w:b/>
          <w:bCs/>
          <w:lang w:val="ro-RO"/>
        </w:rPr>
        <w:t>30.0</w:t>
      </w:r>
    </w:p>
    <w:p w14:paraId="67FB3924" w14:textId="77777777" w:rsidR="00A546D3" w:rsidRDefault="00A546D3" w:rsidP="00A546D3">
      <w:pPr>
        <w:rPr>
          <w:b/>
          <w:bCs/>
          <w:lang w:val="ro-RO"/>
        </w:rPr>
      </w:pPr>
    </w:p>
    <w:p w14:paraId="3805C0A6" w14:textId="4089AAC8" w:rsidR="00186652" w:rsidRPr="00A546D3" w:rsidRDefault="00A546D3" w:rsidP="00A546D3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0C984FC3" w14:textId="77777777" w:rsidR="00580AB9" w:rsidRDefault="00580AB9" w:rsidP="00022581">
      <w:pPr>
        <w:rPr>
          <w:b/>
          <w:lang w:val="ro-RO"/>
        </w:rPr>
      </w:pPr>
    </w:p>
    <w:p w14:paraId="4A38B379" w14:textId="16D4A3AC" w:rsidR="008432BC" w:rsidRPr="00F81B82" w:rsidRDefault="00764181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7C49F54E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3C54B50F" w14:textId="3A0D6813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764181">
        <w:rPr>
          <w:lang w:val="ro-RO"/>
        </w:rPr>
        <w:t>Veaceslav Ursachi</w:t>
      </w:r>
    </w:p>
    <w:p w14:paraId="18B2E6E1" w14:textId="77777777" w:rsidR="00022581" w:rsidRPr="00F81B82" w:rsidRDefault="00022581" w:rsidP="00022581">
      <w:pPr>
        <w:rPr>
          <w:lang w:val="ro-RO"/>
        </w:rPr>
      </w:pPr>
    </w:p>
    <w:p w14:paraId="225004D4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72D6109B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987C" w14:textId="77777777" w:rsidR="00C86E56" w:rsidRDefault="00C86E56" w:rsidP="00014779">
      <w:r>
        <w:separator/>
      </w:r>
    </w:p>
  </w:endnote>
  <w:endnote w:type="continuationSeparator" w:id="0">
    <w:p w14:paraId="0A149312" w14:textId="77777777" w:rsidR="00C86E56" w:rsidRDefault="00C86E5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463E" w14:textId="77777777" w:rsidR="00C86E56" w:rsidRDefault="00C86E56" w:rsidP="00014779">
      <w:r>
        <w:separator/>
      </w:r>
    </w:p>
  </w:footnote>
  <w:footnote w:type="continuationSeparator" w:id="0">
    <w:p w14:paraId="1E34E44A" w14:textId="77777777" w:rsidR="00C86E56" w:rsidRDefault="00C86E5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B2439"/>
    <w:multiLevelType w:val="hybridMultilevel"/>
    <w:tmpl w:val="8D1CE1C4"/>
    <w:lvl w:ilvl="0" w:tplc="2CF05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3"/>
  </w:num>
  <w:num w:numId="13">
    <w:abstractNumId w:val="27"/>
  </w:num>
  <w:num w:numId="14">
    <w:abstractNumId w:val="21"/>
  </w:num>
  <w:num w:numId="15">
    <w:abstractNumId w:val="9"/>
  </w:num>
  <w:num w:numId="16">
    <w:abstractNumId w:val="3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070E"/>
    <w:rsid w:val="00046B63"/>
    <w:rsid w:val="000505FA"/>
    <w:rsid w:val="00052D76"/>
    <w:rsid w:val="00056BB9"/>
    <w:rsid w:val="00057B0A"/>
    <w:rsid w:val="00057BF3"/>
    <w:rsid w:val="00061719"/>
    <w:rsid w:val="00062FF8"/>
    <w:rsid w:val="0006542E"/>
    <w:rsid w:val="0006768C"/>
    <w:rsid w:val="00071D4C"/>
    <w:rsid w:val="000754C5"/>
    <w:rsid w:val="00077C2E"/>
    <w:rsid w:val="00077EFE"/>
    <w:rsid w:val="000808E3"/>
    <w:rsid w:val="0008369B"/>
    <w:rsid w:val="000863C6"/>
    <w:rsid w:val="00087F94"/>
    <w:rsid w:val="000A240E"/>
    <w:rsid w:val="000B6F14"/>
    <w:rsid w:val="000B727C"/>
    <w:rsid w:val="000C0AD6"/>
    <w:rsid w:val="000C1F08"/>
    <w:rsid w:val="000C35B1"/>
    <w:rsid w:val="000C4F09"/>
    <w:rsid w:val="000C562D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0199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D30"/>
    <w:rsid w:val="00170E74"/>
    <w:rsid w:val="00172C2D"/>
    <w:rsid w:val="0017403D"/>
    <w:rsid w:val="0017514E"/>
    <w:rsid w:val="00175668"/>
    <w:rsid w:val="00176297"/>
    <w:rsid w:val="0018027D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710"/>
    <w:rsid w:val="001B1C23"/>
    <w:rsid w:val="001C32BC"/>
    <w:rsid w:val="001C35E5"/>
    <w:rsid w:val="001C6F96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054B7"/>
    <w:rsid w:val="0021324C"/>
    <w:rsid w:val="00217AED"/>
    <w:rsid w:val="00217B43"/>
    <w:rsid w:val="00217EBD"/>
    <w:rsid w:val="002202A0"/>
    <w:rsid w:val="00223A10"/>
    <w:rsid w:val="00223B26"/>
    <w:rsid w:val="002257AB"/>
    <w:rsid w:val="002309F9"/>
    <w:rsid w:val="00234351"/>
    <w:rsid w:val="002357B2"/>
    <w:rsid w:val="002412E8"/>
    <w:rsid w:val="00244DA9"/>
    <w:rsid w:val="00244EF0"/>
    <w:rsid w:val="0025124E"/>
    <w:rsid w:val="00254F87"/>
    <w:rsid w:val="00267481"/>
    <w:rsid w:val="002752B2"/>
    <w:rsid w:val="00276A12"/>
    <w:rsid w:val="00280057"/>
    <w:rsid w:val="00281A88"/>
    <w:rsid w:val="0028394A"/>
    <w:rsid w:val="002844D7"/>
    <w:rsid w:val="00285DA8"/>
    <w:rsid w:val="0029106E"/>
    <w:rsid w:val="002A32B5"/>
    <w:rsid w:val="002A4E11"/>
    <w:rsid w:val="002A65B5"/>
    <w:rsid w:val="002B0605"/>
    <w:rsid w:val="002B2A30"/>
    <w:rsid w:val="002B4200"/>
    <w:rsid w:val="002B4BE8"/>
    <w:rsid w:val="002B55C7"/>
    <w:rsid w:val="002C0AA4"/>
    <w:rsid w:val="002C111E"/>
    <w:rsid w:val="002C29A6"/>
    <w:rsid w:val="002C29E4"/>
    <w:rsid w:val="002C4840"/>
    <w:rsid w:val="002C4AE9"/>
    <w:rsid w:val="002D15BE"/>
    <w:rsid w:val="002D18EB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073A0"/>
    <w:rsid w:val="003112B5"/>
    <w:rsid w:val="003117B2"/>
    <w:rsid w:val="003120F8"/>
    <w:rsid w:val="003137CF"/>
    <w:rsid w:val="003169E3"/>
    <w:rsid w:val="0032320E"/>
    <w:rsid w:val="00323720"/>
    <w:rsid w:val="003270F6"/>
    <w:rsid w:val="003273E6"/>
    <w:rsid w:val="003278C3"/>
    <w:rsid w:val="00330316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573F7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B1A"/>
    <w:rsid w:val="00396FBE"/>
    <w:rsid w:val="003A3323"/>
    <w:rsid w:val="003A3756"/>
    <w:rsid w:val="003A38AF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1CE6"/>
    <w:rsid w:val="00403FA7"/>
    <w:rsid w:val="004040D9"/>
    <w:rsid w:val="0040727D"/>
    <w:rsid w:val="00420477"/>
    <w:rsid w:val="004206E3"/>
    <w:rsid w:val="0042357C"/>
    <w:rsid w:val="00430ED4"/>
    <w:rsid w:val="00431564"/>
    <w:rsid w:val="00432082"/>
    <w:rsid w:val="004327C7"/>
    <w:rsid w:val="004342E1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3AF3"/>
    <w:rsid w:val="004A3D70"/>
    <w:rsid w:val="004B43A8"/>
    <w:rsid w:val="004C3562"/>
    <w:rsid w:val="004C3DA6"/>
    <w:rsid w:val="004C3F39"/>
    <w:rsid w:val="004C58EC"/>
    <w:rsid w:val="004C7040"/>
    <w:rsid w:val="004D0EF5"/>
    <w:rsid w:val="004D3A4D"/>
    <w:rsid w:val="004D457E"/>
    <w:rsid w:val="004D4885"/>
    <w:rsid w:val="004D5C15"/>
    <w:rsid w:val="004D5C61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37C6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0754"/>
    <w:rsid w:val="00552E30"/>
    <w:rsid w:val="00555BDD"/>
    <w:rsid w:val="00557E54"/>
    <w:rsid w:val="00560EAB"/>
    <w:rsid w:val="0056164F"/>
    <w:rsid w:val="00563816"/>
    <w:rsid w:val="00565350"/>
    <w:rsid w:val="0056745C"/>
    <w:rsid w:val="005704A3"/>
    <w:rsid w:val="005733B4"/>
    <w:rsid w:val="0057498C"/>
    <w:rsid w:val="00576094"/>
    <w:rsid w:val="0057626E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769"/>
    <w:rsid w:val="005A6ADD"/>
    <w:rsid w:val="005A7AC3"/>
    <w:rsid w:val="005B0047"/>
    <w:rsid w:val="005B0A1D"/>
    <w:rsid w:val="005B1EDE"/>
    <w:rsid w:val="005B546E"/>
    <w:rsid w:val="005C2AB3"/>
    <w:rsid w:val="005C31C0"/>
    <w:rsid w:val="005C79EE"/>
    <w:rsid w:val="005D3734"/>
    <w:rsid w:val="005D6B1A"/>
    <w:rsid w:val="005D7F9C"/>
    <w:rsid w:val="005E2EA8"/>
    <w:rsid w:val="005E30CE"/>
    <w:rsid w:val="005E3B8E"/>
    <w:rsid w:val="005E787A"/>
    <w:rsid w:val="005F0D06"/>
    <w:rsid w:val="005F1157"/>
    <w:rsid w:val="005F31A1"/>
    <w:rsid w:val="005F3965"/>
    <w:rsid w:val="005F5B17"/>
    <w:rsid w:val="005F7A63"/>
    <w:rsid w:val="006024D5"/>
    <w:rsid w:val="006060D1"/>
    <w:rsid w:val="00606D01"/>
    <w:rsid w:val="00611C76"/>
    <w:rsid w:val="00612A98"/>
    <w:rsid w:val="0061721F"/>
    <w:rsid w:val="00623CA7"/>
    <w:rsid w:val="00624EA8"/>
    <w:rsid w:val="00630B13"/>
    <w:rsid w:val="00631BEB"/>
    <w:rsid w:val="00632A39"/>
    <w:rsid w:val="0063603A"/>
    <w:rsid w:val="00641394"/>
    <w:rsid w:val="00642E8F"/>
    <w:rsid w:val="00647178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B68C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0AF2"/>
    <w:rsid w:val="006F3308"/>
    <w:rsid w:val="006F3C92"/>
    <w:rsid w:val="006F558B"/>
    <w:rsid w:val="006F5F76"/>
    <w:rsid w:val="006F6970"/>
    <w:rsid w:val="006F704F"/>
    <w:rsid w:val="00700370"/>
    <w:rsid w:val="00700E69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53619"/>
    <w:rsid w:val="00754728"/>
    <w:rsid w:val="00763196"/>
    <w:rsid w:val="00764005"/>
    <w:rsid w:val="00764181"/>
    <w:rsid w:val="00765676"/>
    <w:rsid w:val="007717BA"/>
    <w:rsid w:val="00773BB2"/>
    <w:rsid w:val="00775279"/>
    <w:rsid w:val="00775AB9"/>
    <w:rsid w:val="00786188"/>
    <w:rsid w:val="00793F96"/>
    <w:rsid w:val="0079426F"/>
    <w:rsid w:val="00794698"/>
    <w:rsid w:val="00796269"/>
    <w:rsid w:val="00796B89"/>
    <w:rsid w:val="007979EC"/>
    <w:rsid w:val="007A0511"/>
    <w:rsid w:val="007A46FF"/>
    <w:rsid w:val="007A5A07"/>
    <w:rsid w:val="007A65B9"/>
    <w:rsid w:val="007A6CA1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3D98"/>
    <w:rsid w:val="007F4BD8"/>
    <w:rsid w:val="007F71D4"/>
    <w:rsid w:val="007F7953"/>
    <w:rsid w:val="007F7C62"/>
    <w:rsid w:val="00804D9E"/>
    <w:rsid w:val="00805AF5"/>
    <w:rsid w:val="00805EE7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4D36"/>
    <w:rsid w:val="00862E9A"/>
    <w:rsid w:val="00865CCF"/>
    <w:rsid w:val="008664A8"/>
    <w:rsid w:val="0087290F"/>
    <w:rsid w:val="008730B6"/>
    <w:rsid w:val="008877D5"/>
    <w:rsid w:val="008910A2"/>
    <w:rsid w:val="00894CB9"/>
    <w:rsid w:val="00896342"/>
    <w:rsid w:val="008A4A35"/>
    <w:rsid w:val="008A568A"/>
    <w:rsid w:val="008A63B5"/>
    <w:rsid w:val="008B3582"/>
    <w:rsid w:val="008B60CD"/>
    <w:rsid w:val="008C313A"/>
    <w:rsid w:val="008C51D1"/>
    <w:rsid w:val="008C6C78"/>
    <w:rsid w:val="008C78EB"/>
    <w:rsid w:val="008C7EF2"/>
    <w:rsid w:val="008D175A"/>
    <w:rsid w:val="008D35C9"/>
    <w:rsid w:val="008D5883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0DA9"/>
    <w:rsid w:val="008F3453"/>
    <w:rsid w:val="008F6ED5"/>
    <w:rsid w:val="00901834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19D3"/>
    <w:rsid w:val="009223E1"/>
    <w:rsid w:val="009230DC"/>
    <w:rsid w:val="00923125"/>
    <w:rsid w:val="00930695"/>
    <w:rsid w:val="009308AC"/>
    <w:rsid w:val="0093325E"/>
    <w:rsid w:val="0093380E"/>
    <w:rsid w:val="009345BC"/>
    <w:rsid w:val="00936453"/>
    <w:rsid w:val="0094081C"/>
    <w:rsid w:val="0094099C"/>
    <w:rsid w:val="00941AD9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04"/>
    <w:rsid w:val="009C74A9"/>
    <w:rsid w:val="009D1127"/>
    <w:rsid w:val="009D3D1E"/>
    <w:rsid w:val="009D753B"/>
    <w:rsid w:val="009E29CC"/>
    <w:rsid w:val="009E481F"/>
    <w:rsid w:val="009E4EE5"/>
    <w:rsid w:val="009E62B4"/>
    <w:rsid w:val="009E70A4"/>
    <w:rsid w:val="009F00A5"/>
    <w:rsid w:val="009F2724"/>
    <w:rsid w:val="00A0017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6D3"/>
    <w:rsid w:val="00A54B37"/>
    <w:rsid w:val="00A57A5A"/>
    <w:rsid w:val="00A61607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04587"/>
    <w:rsid w:val="00B119DB"/>
    <w:rsid w:val="00B15AFE"/>
    <w:rsid w:val="00B16E0C"/>
    <w:rsid w:val="00B3014C"/>
    <w:rsid w:val="00B410DB"/>
    <w:rsid w:val="00B52274"/>
    <w:rsid w:val="00B56E5B"/>
    <w:rsid w:val="00B57F65"/>
    <w:rsid w:val="00B66E2A"/>
    <w:rsid w:val="00B70C2C"/>
    <w:rsid w:val="00B71732"/>
    <w:rsid w:val="00B7187A"/>
    <w:rsid w:val="00B7313C"/>
    <w:rsid w:val="00B75DD3"/>
    <w:rsid w:val="00B77D36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2FD0"/>
    <w:rsid w:val="00BC0BDA"/>
    <w:rsid w:val="00BC159C"/>
    <w:rsid w:val="00BC1890"/>
    <w:rsid w:val="00BC3A5A"/>
    <w:rsid w:val="00BC5A82"/>
    <w:rsid w:val="00BC7F57"/>
    <w:rsid w:val="00BD28CF"/>
    <w:rsid w:val="00BD2926"/>
    <w:rsid w:val="00BD5687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3EAD"/>
    <w:rsid w:val="00C55F33"/>
    <w:rsid w:val="00C56964"/>
    <w:rsid w:val="00C56EEB"/>
    <w:rsid w:val="00C60810"/>
    <w:rsid w:val="00C60A98"/>
    <w:rsid w:val="00C63FF3"/>
    <w:rsid w:val="00C660EF"/>
    <w:rsid w:val="00C677C1"/>
    <w:rsid w:val="00C77756"/>
    <w:rsid w:val="00C86E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422"/>
    <w:rsid w:val="00CB1637"/>
    <w:rsid w:val="00CB174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5AD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674A"/>
    <w:rsid w:val="00D63D45"/>
    <w:rsid w:val="00D642D9"/>
    <w:rsid w:val="00D645CC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3DED"/>
    <w:rsid w:val="00DB139C"/>
    <w:rsid w:val="00DB1809"/>
    <w:rsid w:val="00DB615C"/>
    <w:rsid w:val="00DC2F7E"/>
    <w:rsid w:val="00DC6A9D"/>
    <w:rsid w:val="00DC6D1D"/>
    <w:rsid w:val="00DC7E31"/>
    <w:rsid w:val="00DD1D75"/>
    <w:rsid w:val="00DD2BAB"/>
    <w:rsid w:val="00DE223D"/>
    <w:rsid w:val="00DE55CA"/>
    <w:rsid w:val="00DE59C3"/>
    <w:rsid w:val="00DE6FFD"/>
    <w:rsid w:val="00DE75E8"/>
    <w:rsid w:val="00DE7880"/>
    <w:rsid w:val="00DE796A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31845"/>
    <w:rsid w:val="00E32CB9"/>
    <w:rsid w:val="00E33400"/>
    <w:rsid w:val="00E36AC7"/>
    <w:rsid w:val="00E402DD"/>
    <w:rsid w:val="00E41235"/>
    <w:rsid w:val="00E41472"/>
    <w:rsid w:val="00E440DB"/>
    <w:rsid w:val="00E45E70"/>
    <w:rsid w:val="00E50308"/>
    <w:rsid w:val="00E5032C"/>
    <w:rsid w:val="00E53EF5"/>
    <w:rsid w:val="00E54412"/>
    <w:rsid w:val="00E57BF0"/>
    <w:rsid w:val="00E61764"/>
    <w:rsid w:val="00E6456F"/>
    <w:rsid w:val="00E650B6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8B9"/>
    <w:rsid w:val="00E94B6B"/>
    <w:rsid w:val="00E9656E"/>
    <w:rsid w:val="00EA52FD"/>
    <w:rsid w:val="00EB071F"/>
    <w:rsid w:val="00EB253D"/>
    <w:rsid w:val="00EB678A"/>
    <w:rsid w:val="00EC1F5E"/>
    <w:rsid w:val="00EC2F71"/>
    <w:rsid w:val="00EC4FF4"/>
    <w:rsid w:val="00ED5269"/>
    <w:rsid w:val="00ED7CA4"/>
    <w:rsid w:val="00EE0FEE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062A5"/>
    <w:rsid w:val="00F1179C"/>
    <w:rsid w:val="00F15410"/>
    <w:rsid w:val="00F15B41"/>
    <w:rsid w:val="00F20591"/>
    <w:rsid w:val="00F21350"/>
    <w:rsid w:val="00F21DE3"/>
    <w:rsid w:val="00F22D4C"/>
    <w:rsid w:val="00F23351"/>
    <w:rsid w:val="00F24D65"/>
    <w:rsid w:val="00F27FC9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22F"/>
    <w:rsid w:val="00F52A66"/>
    <w:rsid w:val="00F5369C"/>
    <w:rsid w:val="00F53BE1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781D"/>
    <w:rsid w:val="00FD00D4"/>
    <w:rsid w:val="00FD029C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64AE4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628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278</cp:revision>
  <cp:lastPrinted>2022-12-05T10:45:00Z</cp:lastPrinted>
  <dcterms:created xsi:type="dcterms:W3CDTF">2024-12-23T15:50:00Z</dcterms:created>
  <dcterms:modified xsi:type="dcterms:W3CDTF">2026-03-03T17:30:00Z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