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36F" w:rsidRPr="00D61877" w:rsidRDefault="0012136F" w:rsidP="0012136F">
      <w:pPr>
        <w:keepNext/>
        <w:spacing w:after="120" w:line="276" w:lineRule="auto"/>
        <w:jc w:val="right"/>
        <w:outlineLvl w:val="0"/>
        <w:rPr>
          <w:rFonts w:ascii="Times New Roman" w:hAnsi="Times New Roman"/>
          <w:bCs/>
          <w:kern w:val="32"/>
          <w:sz w:val="24"/>
          <w:szCs w:val="24"/>
          <w:lang w:val="ro-RO"/>
        </w:rPr>
      </w:pPr>
      <w:r w:rsidRPr="00D61877">
        <w:rPr>
          <w:rFonts w:ascii="Times New Roman" w:hAnsi="Times New Roman"/>
          <w:bCs/>
          <w:kern w:val="32"/>
          <w:sz w:val="24"/>
          <w:szCs w:val="24"/>
          <w:lang w:val="ro-RO"/>
        </w:rPr>
        <w:t>Anexa nr. 1</w:t>
      </w:r>
    </w:p>
    <w:p w:rsidR="0012136F" w:rsidRPr="00D61877" w:rsidRDefault="0012136F" w:rsidP="0012136F">
      <w:pPr>
        <w:keepNext/>
        <w:spacing w:after="120" w:line="240" w:lineRule="auto"/>
        <w:jc w:val="center"/>
        <w:outlineLvl w:val="0"/>
        <w:rPr>
          <w:rFonts w:ascii="Times New Roman" w:hAnsi="Times New Roman"/>
          <w:b/>
          <w:bCs/>
          <w:kern w:val="32"/>
          <w:sz w:val="24"/>
          <w:szCs w:val="24"/>
          <w:lang w:val="ro-RO"/>
        </w:rPr>
      </w:pPr>
      <w:r w:rsidRPr="00D61877">
        <w:rPr>
          <w:rFonts w:ascii="Times New Roman" w:hAnsi="Times New Roman"/>
          <w:b/>
          <w:bCs/>
          <w:kern w:val="32"/>
          <w:sz w:val="24"/>
          <w:szCs w:val="24"/>
          <w:lang w:val="ro-RO"/>
        </w:rPr>
        <w:t xml:space="preserve">Rezumatul activității și a rezultatelor obținute în </w:t>
      </w:r>
      <w:r w:rsidRPr="00D61877">
        <w:rPr>
          <w:rFonts w:ascii="Times New Roman" w:hAnsi="Times New Roman"/>
          <w:b/>
          <w:color w:val="000000"/>
          <w:kern w:val="32"/>
          <w:sz w:val="24"/>
          <w:szCs w:val="24"/>
          <w:lang w:val="ro-RO"/>
        </w:rPr>
        <w:t>subprogram</w:t>
      </w:r>
      <w:r w:rsidRPr="00D61877">
        <w:rPr>
          <w:rFonts w:ascii="Times New Roman" w:hAnsi="Times New Roman"/>
          <w:b/>
          <w:bCs/>
          <w:kern w:val="32"/>
          <w:sz w:val="24"/>
          <w:szCs w:val="24"/>
          <w:lang w:val="ro-RO"/>
        </w:rPr>
        <w:t xml:space="preserve"> în anul 202</w:t>
      </w:r>
      <w:r>
        <w:rPr>
          <w:rFonts w:ascii="Times New Roman" w:hAnsi="Times New Roman"/>
          <w:b/>
          <w:bCs/>
          <w:kern w:val="32"/>
          <w:sz w:val="24"/>
          <w:szCs w:val="24"/>
          <w:lang w:val="ro-RO"/>
        </w:rPr>
        <w:t>5</w:t>
      </w:r>
    </w:p>
    <w:p w:rsidR="0012136F" w:rsidRPr="0012136F" w:rsidRDefault="0012136F" w:rsidP="0012136F">
      <w:pPr>
        <w:spacing w:after="0" w:line="240" w:lineRule="auto"/>
        <w:jc w:val="center"/>
        <w:rPr>
          <w:rFonts w:ascii="Times New Roman" w:hAnsi="Times New Roman"/>
          <w:iCs/>
          <w:sz w:val="24"/>
          <w:szCs w:val="24"/>
          <w:u w:val="single"/>
          <w:lang w:val="it-IT"/>
        </w:rPr>
      </w:pPr>
      <w:r w:rsidRPr="00766F06">
        <w:rPr>
          <w:rFonts w:ascii="Times New Roman" w:hAnsi="Times New Roman"/>
          <w:iCs/>
          <w:sz w:val="24"/>
          <w:szCs w:val="24"/>
          <w:u w:val="single"/>
          <w:lang w:val="it-IT"/>
        </w:rPr>
        <w:t>Cercetarea și valorificarea patrimoniului cultural construit, etnografic, arheologic și artistic din Republica Moldova în contextul integrării europene</w:t>
      </w:r>
    </w:p>
    <w:p w:rsidR="0012136F" w:rsidRDefault="0012136F" w:rsidP="0012136F">
      <w:pPr>
        <w:spacing w:after="0" w:line="240" w:lineRule="auto"/>
        <w:rPr>
          <w:rFonts w:ascii="Times New Roman" w:hAnsi="Times New Roman"/>
          <w:b/>
          <w:sz w:val="24"/>
          <w:szCs w:val="24"/>
          <w:lang w:val="ro-RO"/>
        </w:rPr>
      </w:pPr>
    </w:p>
    <w:p w:rsidR="0012136F" w:rsidRDefault="0012136F" w:rsidP="0012136F">
      <w:pPr>
        <w:spacing w:after="0" w:line="240" w:lineRule="auto"/>
        <w:rPr>
          <w:rFonts w:ascii="Times New Roman" w:hAnsi="Times New Roman"/>
          <w:sz w:val="24"/>
          <w:szCs w:val="24"/>
          <w:u w:val="single"/>
          <w:lang w:val="it-IT"/>
        </w:rPr>
      </w:pPr>
      <w:r w:rsidRPr="00D61877">
        <w:rPr>
          <w:rFonts w:ascii="Times New Roman" w:hAnsi="Times New Roman"/>
          <w:b/>
          <w:sz w:val="24"/>
          <w:szCs w:val="24"/>
          <w:lang w:val="ro-RO"/>
        </w:rPr>
        <w:t xml:space="preserve">Codul </w:t>
      </w:r>
      <w:r w:rsidRPr="00D61877">
        <w:rPr>
          <w:rFonts w:ascii="Times New Roman" w:hAnsi="Times New Roman"/>
          <w:b/>
          <w:color w:val="000000"/>
          <w:kern w:val="32"/>
          <w:sz w:val="24"/>
          <w:szCs w:val="24"/>
          <w:lang w:val="ro-RO"/>
        </w:rPr>
        <w:t>subprogram</w:t>
      </w:r>
      <w:r w:rsidRPr="00D61877">
        <w:rPr>
          <w:rFonts w:ascii="Times New Roman" w:hAnsi="Times New Roman"/>
          <w:b/>
          <w:sz w:val="24"/>
          <w:szCs w:val="24"/>
          <w:lang w:val="ro-RO"/>
        </w:rPr>
        <w:t xml:space="preserve">ului </w:t>
      </w:r>
      <w:r w:rsidRPr="00766F06">
        <w:rPr>
          <w:rFonts w:ascii="Times New Roman" w:hAnsi="Times New Roman"/>
          <w:sz w:val="24"/>
          <w:szCs w:val="24"/>
          <w:u w:val="single"/>
          <w:lang w:val="it-IT"/>
        </w:rPr>
        <w:t>170101</w:t>
      </w:r>
    </w:p>
    <w:p w:rsidR="0012136F" w:rsidRPr="008F1536" w:rsidRDefault="0012136F" w:rsidP="0012136F">
      <w:pPr>
        <w:spacing w:after="0" w:line="240" w:lineRule="auto"/>
        <w:rPr>
          <w:rFonts w:ascii="Times New Roman" w:hAnsi="Times New Roman"/>
          <w:sz w:val="24"/>
          <w:szCs w:val="24"/>
          <w:u w:val="single"/>
          <w:lang w:val="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2136F" w:rsidRPr="00D61877" w:rsidTr="000D3531">
        <w:tc>
          <w:tcPr>
            <w:tcW w:w="9918" w:type="dxa"/>
            <w:shd w:val="clear" w:color="auto" w:fill="auto"/>
          </w:tcPr>
          <w:p w:rsidR="0012136F" w:rsidRPr="003A122A" w:rsidRDefault="0012136F" w:rsidP="000D3531">
            <w:pPr>
              <w:pStyle w:val="NormalWeb"/>
              <w:spacing w:before="0" w:beforeAutospacing="0" w:after="0" w:afterAutospacing="0"/>
              <w:jc w:val="both"/>
              <w:rPr>
                <w:b/>
                <w:lang w:val="ro-RO"/>
              </w:rPr>
            </w:pPr>
            <w:r>
              <w:rPr>
                <w:lang w:val="ro-RO"/>
              </w:rPr>
              <w:t xml:space="preserve">    </w:t>
            </w:r>
            <w:r w:rsidRPr="003A122A">
              <w:rPr>
                <w:b/>
                <w:color w:val="000000"/>
                <w:lang w:val="ro-RO"/>
              </w:rPr>
              <w:t>Pentru anul 2025</w:t>
            </w:r>
          </w:p>
          <w:p w:rsidR="0012136F" w:rsidRPr="008F1536" w:rsidRDefault="0012136F" w:rsidP="000D3531">
            <w:pPr>
              <w:pStyle w:val="NormalWeb"/>
              <w:spacing w:before="0" w:beforeAutospacing="0" w:after="0" w:afterAutospacing="0"/>
              <w:jc w:val="both"/>
              <w:rPr>
                <w:lang w:val="ro-RO"/>
              </w:rPr>
            </w:pPr>
            <w:r>
              <w:rPr>
                <w:lang w:val="ro-RO"/>
              </w:rPr>
              <w:t xml:space="preserve">   </w:t>
            </w:r>
            <w:r w:rsidRPr="008F1536">
              <w:rPr>
                <w:lang w:val="ro-RO"/>
              </w:rPr>
              <w:t xml:space="preserve">Activitatea de cercetare desfășurată în cadrul Institutului Patrimoniului Cultural pe parcursul anului 2025 s-a circumscris obiectivului strategic de documentare complexă, </w:t>
            </w:r>
            <w:r>
              <w:rPr>
                <w:lang w:val="ro-RO"/>
              </w:rPr>
              <w:t>cercetare</w:t>
            </w:r>
            <w:r w:rsidRPr="008F1536">
              <w:rPr>
                <w:lang w:val="ro-RO"/>
              </w:rPr>
              <w:t xml:space="preserve"> și valorificare științifică a patrimoniului cultural național. Demersul </w:t>
            </w:r>
            <w:proofErr w:type="spellStart"/>
            <w:r w:rsidRPr="008F1536">
              <w:rPr>
                <w:lang w:val="ro-RO"/>
              </w:rPr>
              <w:t>investigațional</w:t>
            </w:r>
            <w:proofErr w:type="spellEnd"/>
            <w:r w:rsidRPr="008F1536">
              <w:rPr>
                <w:lang w:val="ro-RO"/>
              </w:rPr>
              <w:t xml:space="preserve"> a integrat metodologii interdisciplinare – de la prospecțiunea arheologică și analiza arhitecturală, până la hermeneutica artistică și ancheta etnologică – vizând fundamentarea teoretică a identității culturale și integrarea acesteia în contextul valoric european.</w:t>
            </w:r>
          </w:p>
          <w:p w:rsidR="0012136F" w:rsidRPr="008F1536" w:rsidRDefault="0012136F" w:rsidP="000D3531">
            <w:pPr>
              <w:pStyle w:val="NormalWeb"/>
              <w:spacing w:before="0" w:beforeAutospacing="0" w:after="0" w:afterAutospacing="0"/>
              <w:jc w:val="both"/>
              <w:rPr>
                <w:lang w:val="ro-RO"/>
              </w:rPr>
            </w:pPr>
            <w:r>
              <w:rPr>
                <w:bCs/>
                <w:i/>
                <w:lang w:val="ro-RO"/>
              </w:rPr>
              <w:t xml:space="preserve">    </w:t>
            </w:r>
            <w:r w:rsidRPr="008F1536">
              <w:rPr>
                <w:bCs/>
                <w:i/>
                <w:lang w:val="ro-RO"/>
              </w:rPr>
              <w:t>Cercetarea arheologică</w:t>
            </w:r>
            <w:r w:rsidRPr="008F1536">
              <w:rPr>
                <w:lang w:val="ro-RO"/>
              </w:rPr>
              <w:t xml:space="preserve"> a vizat actualizarea bazei de date a Repertoriului Arheologic Național prin extinderea investigațiilor de teren. S-a realizat o amplă campanie de </w:t>
            </w:r>
            <w:proofErr w:type="spellStart"/>
            <w:r w:rsidRPr="008F1536">
              <w:rPr>
                <w:lang w:val="ro-RO"/>
              </w:rPr>
              <w:t>periegheză</w:t>
            </w:r>
            <w:proofErr w:type="spellEnd"/>
            <w:r w:rsidRPr="008F1536">
              <w:rPr>
                <w:lang w:val="ro-RO"/>
              </w:rPr>
              <w:t xml:space="preserve">, demers care a permis identificarea și </w:t>
            </w:r>
            <w:proofErr w:type="spellStart"/>
            <w:r w:rsidRPr="008F1536">
              <w:rPr>
                <w:lang w:val="ro-RO"/>
              </w:rPr>
              <w:t>georeferențierea</w:t>
            </w:r>
            <w:proofErr w:type="spellEnd"/>
            <w:r w:rsidRPr="008F1536">
              <w:rPr>
                <w:lang w:val="ro-RO"/>
              </w:rPr>
              <w:t xml:space="preserve"> unui număr semnificativ de situri inedite, acoperind secvențe cronologice extinse, de la paleolitic până în perioada </w:t>
            </w:r>
            <w:r>
              <w:rPr>
                <w:lang w:val="ro-RO"/>
              </w:rPr>
              <w:t>modernă</w:t>
            </w:r>
            <w:r w:rsidRPr="008F1536">
              <w:rPr>
                <w:lang w:val="ro-RO"/>
              </w:rPr>
              <w:t>. Concomitent, cercetarea preventivă din mediul urban a constituit o prioritate absolută, intervențiile de salvare asigurând recuperarea contextelor funerare și a stratigrafiei istorice din zonele afectate de dezvoltarea imobiliară, prevenind astfel pierderea ireversibilă a informației științifice despre trecutul nostru.</w:t>
            </w:r>
          </w:p>
          <w:p w:rsidR="0012136F" w:rsidRPr="008F1536" w:rsidRDefault="0012136F" w:rsidP="000D3531">
            <w:pPr>
              <w:pStyle w:val="NormalWeb"/>
              <w:spacing w:before="0" w:beforeAutospacing="0" w:after="0" w:afterAutospacing="0"/>
              <w:jc w:val="both"/>
              <w:rPr>
                <w:lang w:val="ro-RO"/>
              </w:rPr>
            </w:pPr>
            <w:r>
              <w:rPr>
                <w:bCs/>
                <w:i/>
                <w:lang w:val="ro-RO"/>
              </w:rPr>
              <w:t xml:space="preserve">    </w:t>
            </w:r>
            <w:r w:rsidRPr="008F1536">
              <w:rPr>
                <w:bCs/>
                <w:i/>
                <w:lang w:val="ro-RO"/>
              </w:rPr>
              <w:t xml:space="preserve">În domeniul patrimoniului </w:t>
            </w:r>
            <w:r>
              <w:rPr>
                <w:bCs/>
                <w:i/>
                <w:lang w:val="ro-RO"/>
              </w:rPr>
              <w:t xml:space="preserve">cultural </w:t>
            </w:r>
            <w:r w:rsidRPr="008F1536">
              <w:rPr>
                <w:bCs/>
                <w:i/>
                <w:lang w:val="ro-RO"/>
              </w:rPr>
              <w:t>construit</w:t>
            </w:r>
            <w:r w:rsidRPr="008F1536">
              <w:rPr>
                <w:i/>
                <w:lang w:val="ro-RO"/>
              </w:rPr>
              <w:t>,</w:t>
            </w:r>
            <w:r w:rsidRPr="008F1536">
              <w:rPr>
                <w:lang w:val="ro-RO"/>
              </w:rPr>
              <w:t xml:space="preserve"> cercetarea a avut un caracter preponderent aplicativ, orientat spre fundamentarea politicilor de salvgardare. A fost realizată monitorizarea riguroasă a stării de conservare a fondului imobil (arhitectură civilă, ecleziastică și vernaculară), datele obținute fiind esențiale pentru </w:t>
            </w:r>
            <w:proofErr w:type="spellStart"/>
            <w:r w:rsidRPr="008F1536">
              <w:rPr>
                <w:lang w:val="ro-RO"/>
              </w:rPr>
              <w:t>prioritizarea</w:t>
            </w:r>
            <w:proofErr w:type="spellEnd"/>
            <w:r w:rsidRPr="008F1536">
              <w:rPr>
                <w:lang w:val="ro-RO"/>
              </w:rPr>
              <w:t xml:space="preserve"> intervențiilor de restaurare. Expertiza științifică a cercetătorilor a fost valorificată direct în procesul de elaborare a documentațiilor de urbanism pentru zonele istorice protejate, asigurând cadrul metodologic necesar pentru reglementarea intervențiilor și prezervarea autenticității peisajului urban.</w:t>
            </w:r>
          </w:p>
          <w:p w:rsidR="0012136F" w:rsidRPr="008F1536" w:rsidRDefault="0012136F" w:rsidP="000D3531">
            <w:pPr>
              <w:pStyle w:val="NormalWeb"/>
              <w:spacing w:before="0" w:beforeAutospacing="0" w:after="0" w:afterAutospacing="0"/>
              <w:jc w:val="both"/>
              <w:rPr>
                <w:lang w:val="ro-RO"/>
              </w:rPr>
            </w:pPr>
            <w:r>
              <w:rPr>
                <w:bCs/>
                <w:i/>
                <w:lang w:val="ro-RO"/>
              </w:rPr>
              <w:t xml:space="preserve">    </w:t>
            </w:r>
            <w:r w:rsidRPr="008F1536">
              <w:rPr>
                <w:bCs/>
                <w:i/>
                <w:lang w:val="ro-RO"/>
              </w:rPr>
              <w:t>Cercetarea umanistă</w:t>
            </w:r>
            <w:r w:rsidRPr="008F1536">
              <w:rPr>
                <w:lang w:val="ro-RO"/>
              </w:rPr>
              <w:t xml:space="preserve"> s-a materializat prin elaborarea unor lucrări de sinteză enciclopedică și monografică, care reevaluează fenomenele artistice și istorice pe baza unor surse documentare inedite. Aceste contribuții fundamentale au vizat completarea lacunelor istoriografice și sistematizarea evoluției artelor vizuale, a muzicologiei și a artelor spectacolului. În paralel, investigația etno</w:t>
            </w:r>
            <w:r>
              <w:rPr>
                <w:lang w:val="ro-RO"/>
              </w:rPr>
              <w:t>graf</w:t>
            </w:r>
            <w:r w:rsidRPr="008F1536">
              <w:rPr>
                <w:lang w:val="ro-RO"/>
              </w:rPr>
              <w:t xml:space="preserve">ică de teren s-a axat pe documentarea de urgență a „patrimoniului viu” din comunitățile rurale, analizând dinamica </w:t>
            </w:r>
            <w:r>
              <w:rPr>
                <w:lang w:val="ro-RO"/>
              </w:rPr>
              <w:t>obiceiurilor</w:t>
            </w:r>
            <w:r w:rsidRPr="008F1536">
              <w:rPr>
                <w:lang w:val="ro-RO"/>
              </w:rPr>
              <w:t xml:space="preserve"> și a formelor de expresie tradițională în contextul transformărilor </w:t>
            </w:r>
            <w:proofErr w:type="spellStart"/>
            <w:r w:rsidRPr="008F1536">
              <w:rPr>
                <w:lang w:val="ro-RO"/>
              </w:rPr>
              <w:t>socio</w:t>
            </w:r>
            <w:proofErr w:type="spellEnd"/>
            <w:r w:rsidRPr="008F1536">
              <w:rPr>
                <w:lang w:val="ro-RO"/>
              </w:rPr>
              <w:t>-culturale contemporane.</w:t>
            </w:r>
          </w:p>
          <w:p w:rsidR="0012136F" w:rsidRPr="008F1536" w:rsidRDefault="0012136F" w:rsidP="000D3531">
            <w:pPr>
              <w:pStyle w:val="NormalWeb"/>
              <w:spacing w:before="0" w:beforeAutospacing="0" w:after="0" w:afterAutospacing="0"/>
              <w:jc w:val="both"/>
              <w:rPr>
                <w:lang w:val="ro-RO"/>
              </w:rPr>
            </w:pPr>
            <w:r>
              <w:rPr>
                <w:bCs/>
                <w:i/>
                <w:lang w:val="ro-RO"/>
              </w:rPr>
              <w:t xml:space="preserve">    </w:t>
            </w:r>
            <w:r w:rsidRPr="008F1536">
              <w:rPr>
                <w:bCs/>
                <w:i/>
                <w:lang w:val="ro-RO"/>
              </w:rPr>
              <w:t>Relevanța și vizibilitatea rezultatelor</w:t>
            </w:r>
            <w:r w:rsidRPr="008F1536">
              <w:rPr>
                <w:lang w:val="ro-RO"/>
              </w:rPr>
              <w:t xml:space="preserve"> sunt confirmate de integrarea acestora în fluxul principal de publicații internaționale și de capacitatea instituțională de a susține platforme editoriale de excelență. Un indicator distinct al maturității științifice îl constituie editarea ritmică a celor trei reviste de profil indexate în baza de date internațională SCOPUS (</w:t>
            </w:r>
            <w:r w:rsidRPr="008F1536">
              <w:rPr>
                <w:i/>
                <w:iCs/>
                <w:lang w:val="ro-RO"/>
              </w:rPr>
              <w:t>Revista Arheologică</w:t>
            </w:r>
            <w:r w:rsidRPr="008F1536">
              <w:rPr>
                <w:lang w:val="ro-RO"/>
              </w:rPr>
              <w:t xml:space="preserve">, </w:t>
            </w:r>
            <w:r w:rsidRPr="008F1536">
              <w:rPr>
                <w:i/>
                <w:iCs/>
                <w:lang w:val="ro-RO"/>
              </w:rPr>
              <w:t xml:space="preserve">Revista de </w:t>
            </w:r>
            <w:r>
              <w:rPr>
                <w:i/>
                <w:iCs/>
                <w:lang w:val="ro-RO"/>
              </w:rPr>
              <w:t xml:space="preserve">  </w:t>
            </w:r>
            <w:r w:rsidRPr="008F1536">
              <w:rPr>
                <w:i/>
                <w:iCs/>
                <w:lang w:val="ro-RO"/>
              </w:rPr>
              <w:t>Etnologie și Culturologie</w:t>
            </w:r>
            <w:r w:rsidRPr="008F1536">
              <w:rPr>
                <w:lang w:val="ro-RO"/>
              </w:rPr>
              <w:t xml:space="preserve">, </w:t>
            </w:r>
            <w:r w:rsidRPr="008F1536">
              <w:rPr>
                <w:i/>
                <w:iCs/>
                <w:lang w:val="ro-RO"/>
              </w:rPr>
              <w:t>Arta</w:t>
            </w:r>
            <w:r w:rsidRPr="008F1536">
              <w:rPr>
                <w:lang w:val="ro-RO"/>
              </w:rPr>
              <w:t xml:space="preserve">), care funcționează ca vectori regionali de diseminare a cunoașterii. Dinamica dialogului academic a fost amplificată prin organizarea a nouă manifestări științifice, dintre care se disting forurile internaționale </w:t>
            </w:r>
            <w:r w:rsidRPr="008F1536">
              <w:rPr>
                <w:i/>
                <w:iCs/>
                <w:lang w:val="ro-RO"/>
              </w:rPr>
              <w:t>Simpozionul de Etnologie</w:t>
            </w:r>
            <w:r w:rsidRPr="008F1536">
              <w:rPr>
                <w:lang w:val="ro-RO"/>
              </w:rPr>
              <w:t xml:space="preserve"> și Conferința anuală </w:t>
            </w:r>
            <w:r w:rsidRPr="008F1536">
              <w:rPr>
                <w:i/>
                <w:iCs/>
                <w:lang w:val="ro-RO"/>
              </w:rPr>
              <w:t>„Patrimoniul cultural: cercetare, valorificare, promovare”</w:t>
            </w:r>
            <w:r w:rsidRPr="008F1536">
              <w:rPr>
                <w:lang w:val="ro-RO"/>
              </w:rPr>
              <w:t>. Totodată, dimensiunea strategică a activității este atestată de implicarea nemijlocită în elaborarea dosarelor de nominalizare pentru Lista Patrimoniului Mondial UNESCO, demers ce validează universalitatea patrimoniului cultural autohton.</w:t>
            </w:r>
          </w:p>
          <w:p w:rsidR="0012136F" w:rsidRPr="000858E4" w:rsidRDefault="0012136F" w:rsidP="000D3531">
            <w:pPr>
              <w:pStyle w:val="NormalWeb"/>
              <w:spacing w:before="0" w:beforeAutospacing="0" w:after="0" w:afterAutospacing="0"/>
              <w:jc w:val="both"/>
              <w:rPr>
                <w:lang w:val="ro-RO"/>
              </w:rPr>
            </w:pPr>
            <w:r>
              <w:rPr>
                <w:lang w:val="ro-RO"/>
              </w:rPr>
              <w:t xml:space="preserve">    </w:t>
            </w:r>
            <w:r w:rsidRPr="008F1536">
              <w:rPr>
                <w:lang w:val="ro-RO"/>
              </w:rPr>
              <w:t>Sinteza realizărilor anului 2025 reconfirmă statutul Institutului Patrimoniului Cultural de centru național de excelență și autoritate științifică în domeniu. Prin volumul de cunoaștere generat</w:t>
            </w:r>
            <w:r>
              <w:rPr>
                <w:lang w:val="ro-RO"/>
              </w:rPr>
              <w:t xml:space="preserve"> </w:t>
            </w:r>
            <w:r w:rsidRPr="008F1536">
              <w:rPr>
                <w:lang w:val="ro-RO"/>
              </w:rPr>
              <w:t>Institutul își îndeplinește misiunea de a securiza moștenirea culturală a Republicii Moldova, oferind societății repere identitare solide și argumentate științific.</w:t>
            </w:r>
          </w:p>
        </w:tc>
      </w:tr>
      <w:tr w:rsidR="0012136F" w:rsidRPr="00D61877" w:rsidTr="000D3531">
        <w:tc>
          <w:tcPr>
            <w:tcW w:w="9918" w:type="dxa"/>
            <w:shd w:val="clear" w:color="auto" w:fill="auto"/>
          </w:tcPr>
          <w:p w:rsidR="0012136F" w:rsidRPr="003A122A" w:rsidRDefault="0012136F" w:rsidP="000D3531">
            <w:pPr>
              <w:spacing w:after="0" w:line="240" w:lineRule="auto"/>
              <w:jc w:val="both"/>
              <w:rPr>
                <w:rFonts w:ascii="Times New Roman" w:eastAsia="Times New Roman" w:hAnsi="Times New Roman"/>
                <w:b/>
                <w:sz w:val="24"/>
                <w:szCs w:val="24"/>
              </w:rPr>
            </w:pPr>
            <w:r>
              <w:rPr>
                <w:rFonts w:ascii="Times New Roman" w:eastAsia="Times New Roman" w:hAnsi="Times New Roman"/>
                <w:b/>
                <w:color w:val="000000"/>
                <w:sz w:val="24"/>
                <w:szCs w:val="24"/>
                <w:lang w:val="ro-RO"/>
              </w:rPr>
              <w:lastRenderedPageBreak/>
              <w:t xml:space="preserve">   </w:t>
            </w:r>
            <w:r w:rsidRPr="003A122A">
              <w:rPr>
                <w:rFonts w:ascii="Times New Roman" w:eastAsia="Times New Roman" w:hAnsi="Times New Roman"/>
                <w:b/>
                <w:color w:val="000000"/>
                <w:sz w:val="24"/>
                <w:szCs w:val="24"/>
                <w:lang w:val="ro-RO"/>
              </w:rPr>
              <w:t xml:space="preserve">For </w:t>
            </w:r>
            <w:proofErr w:type="spellStart"/>
            <w:r w:rsidRPr="003A122A">
              <w:rPr>
                <w:rFonts w:ascii="Times New Roman" w:eastAsia="Times New Roman" w:hAnsi="Times New Roman"/>
                <w:b/>
                <w:color w:val="000000"/>
                <w:sz w:val="24"/>
                <w:szCs w:val="24"/>
                <w:lang w:val="ro-RO"/>
              </w:rPr>
              <w:t>the</w:t>
            </w:r>
            <w:proofErr w:type="spellEnd"/>
            <w:r w:rsidRPr="003A122A">
              <w:rPr>
                <w:rFonts w:ascii="Times New Roman" w:eastAsia="Times New Roman" w:hAnsi="Times New Roman"/>
                <w:b/>
                <w:color w:val="000000"/>
                <w:sz w:val="24"/>
                <w:szCs w:val="24"/>
                <w:lang w:val="ro-RO"/>
              </w:rPr>
              <w:t xml:space="preserve"> </w:t>
            </w:r>
            <w:proofErr w:type="spellStart"/>
            <w:r w:rsidRPr="003A122A">
              <w:rPr>
                <w:rFonts w:ascii="Times New Roman" w:eastAsia="Times New Roman" w:hAnsi="Times New Roman"/>
                <w:b/>
                <w:color w:val="000000"/>
                <w:sz w:val="24"/>
                <w:szCs w:val="24"/>
                <w:lang w:val="ro-RO"/>
              </w:rPr>
              <w:t>year</w:t>
            </w:r>
            <w:proofErr w:type="spellEnd"/>
            <w:r w:rsidRPr="003A122A">
              <w:rPr>
                <w:rFonts w:ascii="Times New Roman" w:eastAsia="Times New Roman" w:hAnsi="Times New Roman"/>
                <w:b/>
                <w:color w:val="000000"/>
                <w:sz w:val="24"/>
                <w:szCs w:val="24"/>
                <w:lang w:val="ro-RO"/>
              </w:rPr>
              <w:t xml:space="preserve"> 2025</w:t>
            </w:r>
          </w:p>
          <w:p w:rsidR="0012136F" w:rsidRPr="000858E4" w:rsidRDefault="0012136F" w:rsidP="000D35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858E4">
              <w:rPr>
                <w:rFonts w:ascii="Times New Roman" w:eastAsia="Times New Roman" w:hAnsi="Times New Roman"/>
                <w:sz w:val="24"/>
                <w:szCs w:val="24"/>
              </w:rPr>
              <w:t>The research activity carried out within the Institute of Cultural Heritage throughout 2025 was circumscribed to the strategic objective of complex documentation, protection, and scientific valorization of the national cultural heritage. The investigative approach integrated interdisciplinary methodologies – ranging from archaeological prospection and architectural analysis to artistic hermeneutics and ethnological inquiry – aiming at the theoretical substantiation of cultural identity and its integration within the European context of values.</w:t>
            </w:r>
          </w:p>
          <w:p w:rsidR="0012136F" w:rsidRPr="000858E4" w:rsidRDefault="0012136F" w:rsidP="000D3531">
            <w:pPr>
              <w:spacing w:after="0" w:line="240" w:lineRule="auto"/>
              <w:jc w:val="both"/>
              <w:rPr>
                <w:rFonts w:ascii="Times New Roman" w:eastAsia="Times New Roman" w:hAnsi="Times New Roman"/>
                <w:sz w:val="24"/>
                <w:szCs w:val="24"/>
              </w:rPr>
            </w:pPr>
            <w:r>
              <w:rPr>
                <w:rFonts w:ascii="Times New Roman" w:eastAsia="Times New Roman" w:hAnsi="Times New Roman"/>
                <w:bCs/>
                <w:i/>
                <w:sz w:val="24"/>
                <w:szCs w:val="24"/>
              </w:rPr>
              <w:t xml:space="preserve">   </w:t>
            </w:r>
            <w:r w:rsidRPr="000858E4">
              <w:rPr>
                <w:rFonts w:ascii="Times New Roman" w:eastAsia="Times New Roman" w:hAnsi="Times New Roman"/>
                <w:bCs/>
                <w:i/>
                <w:sz w:val="24"/>
                <w:szCs w:val="24"/>
              </w:rPr>
              <w:t>Archaeological research</w:t>
            </w:r>
            <w:r w:rsidRPr="000858E4">
              <w:rPr>
                <w:rFonts w:ascii="Times New Roman" w:eastAsia="Times New Roman" w:hAnsi="Times New Roman"/>
                <w:sz w:val="24"/>
                <w:szCs w:val="24"/>
              </w:rPr>
              <w:t xml:space="preserve"> focused on updating the National Archaeological Repertoire database by expanding field investigations. An extensive survey campaign was conducted in reference river basins, an endeavor that allowed for the identification and georeferencing of a significant number of unpublished sites, covering extensive chronological sequences from the Paleolithic to the Medieval period. Concurrently, preventive research in the urban environment constituted an absolute priority; rescue interventions ensured the recovery of funerary contexts and historical stratigraphy in areas affected by real estate development, thus preventing the irreversible loss of scientific information regarding our past.</w:t>
            </w:r>
          </w:p>
          <w:p w:rsidR="0012136F" w:rsidRPr="000858E4" w:rsidRDefault="0012136F" w:rsidP="000D3531">
            <w:pPr>
              <w:spacing w:after="0" w:line="240" w:lineRule="auto"/>
              <w:jc w:val="both"/>
              <w:rPr>
                <w:rFonts w:ascii="Times New Roman" w:eastAsia="Times New Roman" w:hAnsi="Times New Roman"/>
                <w:sz w:val="24"/>
                <w:szCs w:val="24"/>
              </w:rPr>
            </w:pPr>
            <w:r>
              <w:rPr>
                <w:rFonts w:ascii="Times New Roman" w:eastAsia="Times New Roman" w:hAnsi="Times New Roman"/>
                <w:bCs/>
                <w:i/>
                <w:sz w:val="24"/>
                <w:szCs w:val="24"/>
              </w:rPr>
              <w:t xml:space="preserve">   </w:t>
            </w:r>
            <w:r w:rsidRPr="000858E4">
              <w:rPr>
                <w:rFonts w:ascii="Times New Roman" w:eastAsia="Times New Roman" w:hAnsi="Times New Roman"/>
                <w:bCs/>
                <w:i/>
                <w:sz w:val="24"/>
                <w:szCs w:val="24"/>
              </w:rPr>
              <w:t>In the field of built heritage</w:t>
            </w:r>
            <w:r w:rsidRPr="000858E4">
              <w:rPr>
                <w:rFonts w:ascii="Times New Roman" w:eastAsia="Times New Roman" w:hAnsi="Times New Roman"/>
                <w:sz w:val="24"/>
                <w:szCs w:val="24"/>
              </w:rPr>
              <w:t>, research had a predominantly applied character, oriented towards substantiating safeguarding policies. Rigorous monitoring of the conservation status of the immovable heritage (civil, ecclesiastical, and vernacular architecture) was carried out, the obtained data being essential for prioritizing restoration interventions. The scientific expertise of the researchers was directly valorized in the process of elaborating urban planning documentation for protected historical zones, ensuring the necessary methodological framework for regulating interventions and preserving the authenticity of the urban landscape.</w:t>
            </w:r>
          </w:p>
          <w:p w:rsidR="0012136F" w:rsidRPr="000858E4" w:rsidRDefault="0012136F" w:rsidP="000D3531">
            <w:pPr>
              <w:spacing w:after="0" w:line="240" w:lineRule="auto"/>
              <w:jc w:val="both"/>
              <w:rPr>
                <w:rFonts w:ascii="Times New Roman" w:eastAsia="Times New Roman" w:hAnsi="Times New Roman"/>
                <w:sz w:val="24"/>
                <w:szCs w:val="24"/>
              </w:rPr>
            </w:pPr>
            <w:r>
              <w:rPr>
                <w:rFonts w:ascii="Times New Roman" w:eastAsia="Times New Roman" w:hAnsi="Times New Roman"/>
                <w:bCs/>
                <w:i/>
                <w:sz w:val="24"/>
                <w:szCs w:val="24"/>
              </w:rPr>
              <w:t xml:space="preserve">   </w:t>
            </w:r>
            <w:r w:rsidRPr="000858E4">
              <w:rPr>
                <w:rFonts w:ascii="Times New Roman" w:eastAsia="Times New Roman" w:hAnsi="Times New Roman"/>
                <w:bCs/>
                <w:i/>
                <w:sz w:val="24"/>
                <w:szCs w:val="24"/>
              </w:rPr>
              <w:t>Humanistic research</w:t>
            </w:r>
            <w:r w:rsidRPr="000858E4">
              <w:rPr>
                <w:rFonts w:ascii="Times New Roman" w:eastAsia="Times New Roman" w:hAnsi="Times New Roman"/>
                <w:sz w:val="24"/>
                <w:szCs w:val="24"/>
              </w:rPr>
              <w:t xml:space="preserve"> materialized through the elaboration of encyclopedic and monographic synthesis works, which re-evaluate artistic and historical phenomena based on unpublished documentary sources. These fundamental contributions aimed at filling historiographical gaps and systematizing the evolution of visual arts, musicology, and performing arts. In parallel, the ethnological field investigation focused on the urgent documentation of the "living heritage" in rural communities, analyzing the dynamics of rites of passage and traditional forms of expression in the context of contemporary socio-cultural transformations.</w:t>
            </w:r>
          </w:p>
          <w:p w:rsidR="0012136F" w:rsidRPr="000858E4" w:rsidRDefault="0012136F" w:rsidP="000D3531">
            <w:pPr>
              <w:spacing w:after="0" w:line="240" w:lineRule="auto"/>
              <w:jc w:val="both"/>
              <w:rPr>
                <w:rFonts w:ascii="Times New Roman" w:eastAsia="Times New Roman" w:hAnsi="Times New Roman"/>
                <w:sz w:val="24"/>
                <w:szCs w:val="24"/>
              </w:rPr>
            </w:pPr>
            <w:r>
              <w:rPr>
                <w:rFonts w:ascii="Times New Roman" w:eastAsia="Times New Roman" w:hAnsi="Times New Roman"/>
                <w:bCs/>
                <w:i/>
                <w:sz w:val="24"/>
                <w:szCs w:val="24"/>
              </w:rPr>
              <w:t xml:space="preserve">   </w:t>
            </w:r>
            <w:r w:rsidRPr="000858E4">
              <w:rPr>
                <w:rFonts w:ascii="Times New Roman" w:eastAsia="Times New Roman" w:hAnsi="Times New Roman"/>
                <w:bCs/>
                <w:i/>
                <w:sz w:val="24"/>
                <w:szCs w:val="24"/>
              </w:rPr>
              <w:t>The relevance and visibility of the results</w:t>
            </w:r>
            <w:r w:rsidRPr="000858E4">
              <w:rPr>
                <w:rFonts w:ascii="Times New Roman" w:eastAsia="Times New Roman" w:hAnsi="Times New Roman"/>
                <w:sz w:val="24"/>
                <w:szCs w:val="24"/>
              </w:rPr>
              <w:t xml:space="preserve"> are confirmed by their integration into the mainstream of international publications and by the institutional capacity to sustain platforms of editorial excellence. A distinct indicator of scientific maturity is the consistent publication of three specialized journals indexed in the SCOPUS international database (</w:t>
            </w:r>
            <w:proofErr w:type="spellStart"/>
            <w:r w:rsidRPr="000858E4">
              <w:rPr>
                <w:rFonts w:ascii="Times New Roman" w:eastAsia="Times New Roman" w:hAnsi="Times New Roman"/>
                <w:i/>
                <w:iCs/>
                <w:sz w:val="24"/>
                <w:szCs w:val="24"/>
              </w:rPr>
              <w:t>Revista</w:t>
            </w:r>
            <w:proofErr w:type="spellEnd"/>
            <w:r w:rsidRPr="000858E4">
              <w:rPr>
                <w:rFonts w:ascii="Times New Roman" w:eastAsia="Times New Roman" w:hAnsi="Times New Roman"/>
                <w:i/>
                <w:iCs/>
                <w:sz w:val="24"/>
                <w:szCs w:val="24"/>
              </w:rPr>
              <w:t xml:space="preserve"> </w:t>
            </w:r>
            <w:proofErr w:type="spellStart"/>
            <w:r w:rsidRPr="000858E4">
              <w:rPr>
                <w:rFonts w:ascii="Times New Roman" w:eastAsia="Times New Roman" w:hAnsi="Times New Roman"/>
                <w:i/>
                <w:iCs/>
                <w:sz w:val="24"/>
                <w:szCs w:val="24"/>
              </w:rPr>
              <w:t>Arheologică</w:t>
            </w:r>
            <w:proofErr w:type="spellEnd"/>
            <w:r w:rsidRPr="000858E4">
              <w:rPr>
                <w:rFonts w:ascii="Times New Roman" w:eastAsia="Times New Roman" w:hAnsi="Times New Roman"/>
                <w:sz w:val="24"/>
                <w:szCs w:val="24"/>
              </w:rPr>
              <w:t xml:space="preserve">, </w:t>
            </w:r>
            <w:proofErr w:type="spellStart"/>
            <w:r w:rsidRPr="000858E4">
              <w:rPr>
                <w:rFonts w:ascii="Times New Roman" w:eastAsia="Times New Roman" w:hAnsi="Times New Roman"/>
                <w:i/>
                <w:iCs/>
                <w:sz w:val="24"/>
                <w:szCs w:val="24"/>
              </w:rPr>
              <w:t>Revista</w:t>
            </w:r>
            <w:proofErr w:type="spellEnd"/>
            <w:r w:rsidRPr="000858E4">
              <w:rPr>
                <w:rFonts w:ascii="Times New Roman" w:eastAsia="Times New Roman" w:hAnsi="Times New Roman"/>
                <w:i/>
                <w:iCs/>
                <w:sz w:val="24"/>
                <w:szCs w:val="24"/>
              </w:rPr>
              <w:t xml:space="preserve"> de </w:t>
            </w:r>
            <w:proofErr w:type="spellStart"/>
            <w:r w:rsidRPr="000858E4">
              <w:rPr>
                <w:rFonts w:ascii="Times New Roman" w:eastAsia="Times New Roman" w:hAnsi="Times New Roman"/>
                <w:i/>
                <w:iCs/>
                <w:sz w:val="24"/>
                <w:szCs w:val="24"/>
              </w:rPr>
              <w:t>Etnologie</w:t>
            </w:r>
            <w:proofErr w:type="spellEnd"/>
            <w:r w:rsidRPr="000858E4">
              <w:rPr>
                <w:rFonts w:ascii="Times New Roman" w:eastAsia="Times New Roman" w:hAnsi="Times New Roman"/>
                <w:i/>
                <w:iCs/>
                <w:sz w:val="24"/>
                <w:szCs w:val="24"/>
              </w:rPr>
              <w:t xml:space="preserve"> </w:t>
            </w:r>
            <w:proofErr w:type="spellStart"/>
            <w:r w:rsidRPr="000858E4">
              <w:rPr>
                <w:rFonts w:ascii="Times New Roman" w:eastAsia="Times New Roman" w:hAnsi="Times New Roman"/>
                <w:i/>
                <w:iCs/>
                <w:sz w:val="24"/>
                <w:szCs w:val="24"/>
              </w:rPr>
              <w:t>și</w:t>
            </w:r>
            <w:proofErr w:type="spellEnd"/>
            <w:r w:rsidRPr="000858E4">
              <w:rPr>
                <w:rFonts w:ascii="Times New Roman" w:eastAsia="Times New Roman" w:hAnsi="Times New Roman"/>
                <w:i/>
                <w:iCs/>
                <w:sz w:val="24"/>
                <w:szCs w:val="24"/>
              </w:rPr>
              <w:t xml:space="preserve"> </w:t>
            </w:r>
            <w:proofErr w:type="spellStart"/>
            <w:r w:rsidRPr="000858E4">
              <w:rPr>
                <w:rFonts w:ascii="Times New Roman" w:eastAsia="Times New Roman" w:hAnsi="Times New Roman"/>
                <w:i/>
                <w:iCs/>
                <w:sz w:val="24"/>
                <w:szCs w:val="24"/>
              </w:rPr>
              <w:t>Culturologie</w:t>
            </w:r>
            <w:proofErr w:type="spellEnd"/>
            <w:r w:rsidRPr="000858E4">
              <w:rPr>
                <w:rFonts w:ascii="Times New Roman" w:eastAsia="Times New Roman" w:hAnsi="Times New Roman"/>
                <w:sz w:val="24"/>
                <w:szCs w:val="24"/>
              </w:rPr>
              <w:t xml:space="preserve">, </w:t>
            </w:r>
            <w:r w:rsidRPr="000858E4">
              <w:rPr>
                <w:rFonts w:ascii="Times New Roman" w:eastAsia="Times New Roman" w:hAnsi="Times New Roman"/>
                <w:i/>
                <w:iCs/>
                <w:sz w:val="24"/>
                <w:szCs w:val="24"/>
              </w:rPr>
              <w:t>Arta</w:t>
            </w:r>
            <w:r w:rsidRPr="000858E4">
              <w:rPr>
                <w:rFonts w:ascii="Times New Roman" w:eastAsia="Times New Roman" w:hAnsi="Times New Roman"/>
                <w:sz w:val="24"/>
                <w:szCs w:val="24"/>
              </w:rPr>
              <w:t xml:space="preserve">), which function as regional vectors for knowledge dissemination. The dynamics of academic dialogue were amplified by the organization of nine scientific events, notably the international forums: </w:t>
            </w:r>
            <w:proofErr w:type="gramStart"/>
            <w:r w:rsidRPr="000858E4">
              <w:rPr>
                <w:rFonts w:ascii="Times New Roman" w:eastAsia="Times New Roman" w:hAnsi="Times New Roman"/>
                <w:sz w:val="24"/>
                <w:szCs w:val="24"/>
              </w:rPr>
              <w:t>the</w:t>
            </w:r>
            <w:proofErr w:type="gramEnd"/>
            <w:r w:rsidRPr="000858E4">
              <w:rPr>
                <w:rFonts w:ascii="Times New Roman" w:eastAsia="Times New Roman" w:hAnsi="Times New Roman"/>
                <w:sz w:val="24"/>
                <w:szCs w:val="24"/>
              </w:rPr>
              <w:t xml:space="preserve"> </w:t>
            </w:r>
            <w:r w:rsidRPr="000858E4">
              <w:rPr>
                <w:rFonts w:ascii="Times New Roman" w:eastAsia="Times New Roman" w:hAnsi="Times New Roman"/>
                <w:i/>
                <w:iCs/>
                <w:sz w:val="24"/>
                <w:szCs w:val="24"/>
              </w:rPr>
              <w:t>Symposium of Ethnology</w:t>
            </w:r>
            <w:r w:rsidRPr="000858E4">
              <w:rPr>
                <w:rFonts w:ascii="Times New Roman" w:eastAsia="Times New Roman" w:hAnsi="Times New Roman"/>
                <w:sz w:val="24"/>
                <w:szCs w:val="24"/>
              </w:rPr>
              <w:t xml:space="preserve"> and the Annual Conference </w:t>
            </w:r>
            <w:r w:rsidRPr="000858E4">
              <w:rPr>
                <w:rFonts w:ascii="Times New Roman" w:eastAsia="Times New Roman" w:hAnsi="Times New Roman"/>
                <w:i/>
                <w:iCs/>
                <w:sz w:val="24"/>
                <w:szCs w:val="24"/>
              </w:rPr>
              <w:t>"Cultural Heritage: Research, Valorization, Promotion"</w:t>
            </w:r>
            <w:r w:rsidRPr="000858E4">
              <w:rPr>
                <w:rFonts w:ascii="Times New Roman" w:eastAsia="Times New Roman" w:hAnsi="Times New Roman"/>
                <w:sz w:val="24"/>
                <w:szCs w:val="24"/>
              </w:rPr>
              <w:t>. Furthermore, the strategic dimension of the activity is attested by the direct involvement in the elaboration of nomination dossiers for the UNESCO World Heritage List, an endeavor that validates the universality of the local cultural heritage.</w:t>
            </w:r>
          </w:p>
          <w:p w:rsidR="0012136F" w:rsidRPr="000858E4" w:rsidRDefault="0012136F" w:rsidP="000D35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858E4">
              <w:rPr>
                <w:rFonts w:ascii="Times New Roman" w:eastAsia="Times New Roman" w:hAnsi="Times New Roman"/>
                <w:sz w:val="24"/>
                <w:szCs w:val="24"/>
              </w:rPr>
              <w:t>The synthesis of the achievements of 2025 reconfirms the status of the Institute of Cultural Heritage as a national center of excellence and a scientific authority in the field. Through the volume of knowledge generated, the rescue of heritage at risk, and the training of new generations of specialists, the Institute fulfills its mission to secure the cultural legacy of the Republic of Moldova, offering society solid and scientifically substantiated identity benchmarks.</w:t>
            </w:r>
          </w:p>
        </w:tc>
      </w:tr>
    </w:tbl>
    <w:p w:rsidR="0012136F" w:rsidRDefault="0012136F" w:rsidP="0012136F">
      <w:pPr>
        <w:spacing w:after="0" w:line="276" w:lineRule="auto"/>
        <w:rPr>
          <w:rFonts w:ascii="Times New Roman" w:hAnsi="Times New Roman"/>
          <w:b/>
          <w:sz w:val="24"/>
          <w:szCs w:val="24"/>
          <w:lang w:val="ro-RO"/>
        </w:rPr>
      </w:pPr>
    </w:p>
    <w:p w:rsidR="0012136F" w:rsidRPr="003A122A" w:rsidRDefault="0012136F" w:rsidP="0012136F">
      <w:pPr>
        <w:spacing w:after="0" w:line="276" w:lineRule="auto"/>
        <w:rPr>
          <w:rFonts w:ascii="Times New Roman" w:hAnsi="Times New Roman"/>
          <w:b/>
          <w:color w:val="FF0000"/>
          <w:sz w:val="24"/>
          <w:szCs w:val="24"/>
          <w:lang w:val="ro-RO"/>
        </w:rPr>
      </w:pPr>
      <w:r w:rsidRPr="003A122A">
        <w:rPr>
          <w:rFonts w:ascii="Times New Roman" w:hAnsi="Times New Roman"/>
          <w:b/>
          <w:sz w:val="24"/>
          <w:szCs w:val="24"/>
          <w:lang w:val="ro-RO"/>
        </w:rPr>
        <w:t xml:space="preserve">Coordonatorul subprogramului                             </w:t>
      </w:r>
    </w:p>
    <w:p w:rsidR="0012136F" w:rsidRPr="00D61877" w:rsidRDefault="0012136F" w:rsidP="0012136F">
      <w:pPr>
        <w:spacing w:after="120" w:line="276" w:lineRule="auto"/>
        <w:rPr>
          <w:rFonts w:ascii="Times New Roman" w:hAnsi="Times New Roman"/>
          <w:strike/>
          <w:szCs w:val="24"/>
          <w:lang w:val="ro-RO"/>
        </w:rPr>
      </w:pPr>
      <w:r w:rsidRPr="003A122A">
        <w:rPr>
          <w:rFonts w:ascii="Times New Roman" w:hAnsi="Times New Roman"/>
          <w:b/>
          <w:sz w:val="24"/>
          <w:szCs w:val="24"/>
          <w:lang w:val="ro-RO"/>
        </w:rPr>
        <w:t>de cercetare</w:t>
      </w:r>
      <w:r w:rsidRPr="003A122A">
        <w:rPr>
          <w:rFonts w:ascii="Times New Roman" w:hAnsi="Times New Roman"/>
          <w:b/>
          <w:color w:val="FF0000"/>
          <w:sz w:val="24"/>
          <w:szCs w:val="24"/>
          <w:lang w:val="ro-RO"/>
        </w:rPr>
        <w:t xml:space="preserve"> </w:t>
      </w:r>
      <w:r w:rsidRPr="003A122A">
        <w:rPr>
          <w:rFonts w:ascii="Times New Roman" w:hAnsi="Times New Roman"/>
          <w:b/>
          <w:color w:val="FF0000"/>
          <w:sz w:val="24"/>
          <w:szCs w:val="24"/>
          <w:lang w:val="ro-RO"/>
        </w:rPr>
        <w:tab/>
      </w:r>
      <w:r w:rsidRPr="003A122A">
        <w:rPr>
          <w:rFonts w:ascii="Times New Roman" w:hAnsi="Times New Roman"/>
          <w:b/>
          <w:color w:val="FF0000"/>
          <w:sz w:val="24"/>
          <w:szCs w:val="24"/>
          <w:lang w:val="ro-RO"/>
        </w:rPr>
        <w:tab/>
      </w:r>
      <w:r w:rsidRPr="003A122A">
        <w:rPr>
          <w:rFonts w:ascii="Times New Roman" w:hAnsi="Times New Roman"/>
          <w:b/>
          <w:color w:val="FF0000"/>
          <w:sz w:val="24"/>
          <w:szCs w:val="24"/>
          <w:lang w:val="ro-RO"/>
        </w:rPr>
        <w:tab/>
        <w:t xml:space="preserve">           </w:t>
      </w:r>
      <w:r w:rsidRPr="003A122A">
        <w:rPr>
          <w:rFonts w:ascii="Times New Roman" w:hAnsi="Times New Roman"/>
          <w:b/>
          <w:color w:val="FF0000"/>
          <w:sz w:val="24"/>
          <w:szCs w:val="24"/>
          <w:lang w:val="ro-RO"/>
        </w:rPr>
        <w:tab/>
        <w:t xml:space="preserve">                                </w:t>
      </w:r>
      <w:r w:rsidRPr="003A122A">
        <w:rPr>
          <w:rFonts w:ascii="Times New Roman" w:hAnsi="Times New Roman"/>
          <w:b/>
          <w:color w:val="FF0000"/>
          <w:sz w:val="24"/>
          <w:szCs w:val="24"/>
          <w:u w:val="single"/>
          <w:lang w:val="ro-RO"/>
        </w:rPr>
        <w:t xml:space="preserve"> </w:t>
      </w:r>
      <w:r w:rsidRPr="003A122A">
        <w:rPr>
          <w:rFonts w:ascii="Times New Roman" w:hAnsi="Times New Roman"/>
          <w:b/>
          <w:sz w:val="24"/>
          <w:szCs w:val="24"/>
          <w:u w:val="single"/>
          <w:lang w:val="ro-RO"/>
        </w:rPr>
        <w:t>URSU Ion</w:t>
      </w:r>
      <w:r w:rsidRPr="003A122A">
        <w:rPr>
          <w:rFonts w:ascii="Times New Roman" w:hAnsi="Times New Roman"/>
          <w:b/>
          <w:sz w:val="24"/>
          <w:szCs w:val="24"/>
          <w:lang w:val="ro-RO"/>
        </w:rPr>
        <w:t xml:space="preserve">                              </w:t>
      </w:r>
      <w:bookmarkStart w:id="0" w:name="_GoBack"/>
      <w:bookmarkEnd w:id="0"/>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t xml:space="preserve">                   </w:t>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t xml:space="preserve">    </w:t>
      </w:r>
      <w:r w:rsidRPr="00D61877">
        <w:rPr>
          <w:rFonts w:ascii="Times New Roman" w:hAnsi="Times New Roman"/>
          <w:szCs w:val="24"/>
          <w:lang w:val="ro-RO"/>
        </w:rPr>
        <w:tab/>
      </w:r>
      <w:r w:rsidRPr="00D61877">
        <w:rPr>
          <w:rFonts w:ascii="Times New Roman" w:hAnsi="Times New Roman"/>
          <w:strike/>
          <w:szCs w:val="24"/>
          <w:lang w:val="ro-RO"/>
        </w:rPr>
        <w:t xml:space="preserve"> </w:t>
      </w:r>
    </w:p>
    <w:p w:rsidR="00343D54" w:rsidRPr="0012136F" w:rsidRDefault="0012136F" w:rsidP="0012136F">
      <w:pPr>
        <w:spacing w:after="120" w:line="276" w:lineRule="auto"/>
        <w:rPr>
          <w:rFonts w:ascii="Times New Roman" w:eastAsia="Times New Roman" w:hAnsi="Times New Roman"/>
          <w:sz w:val="24"/>
          <w:szCs w:val="24"/>
          <w:lang w:val="ro-RO" w:eastAsia="ru-RU"/>
        </w:rPr>
      </w:pPr>
      <w:r w:rsidRPr="00D61877">
        <w:rPr>
          <w:rFonts w:ascii="Times New Roman" w:eastAsia="Times New Roman" w:hAnsi="Times New Roman"/>
          <w:sz w:val="24"/>
          <w:szCs w:val="24"/>
          <w:lang w:val="ro-RO" w:eastAsia="ru-RU"/>
        </w:rPr>
        <w:t xml:space="preserve">Data: </w:t>
      </w:r>
      <w:r>
        <w:rPr>
          <w:rFonts w:ascii="Times New Roman" w:eastAsia="Times New Roman" w:hAnsi="Times New Roman"/>
          <w:sz w:val="24"/>
          <w:szCs w:val="24"/>
          <w:lang w:val="ro-RO" w:eastAsia="ru-RU"/>
        </w:rPr>
        <w:t>29.01.2026</w:t>
      </w:r>
      <w:r w:rsidRPr="00D61877">
        <w:rPr>
          <w:rFonts w:ascii="Times New Roman" w:eastAsia="Times New Roman" w:hAnsi="Times New Roman"/>
          <w:sz w:val="24"/>
          <w:szCs w:val="24"/>
          <w:lang w:val="ro-RO" w:eastAsia="ru-RU"/>
        </w:rPr>
        <w:t xml:space="preserve"> </w:t>
      </w:r>
    </w:p>
    <w:sectPr w:rsidR="00343D54" w:rsidRPr="0012136F" w:rsidSect="005B71A7">
      <w:pgSz w:w="11910" w:h="16840" w:code="9"/>
      <w:pgMar w:top="1440" w:right="907" w:bottom="1440" w:left="1440" w:header="0" w:footer="64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6F"/>
    <w:rsid w:val="0012136F"/>
    <w:rsid w:val="00174C16"/>
    <w:rsid w:val="00284301"/>
    <w:rsid w:val="00300753"/>
    <w:rsid w:val="00343D54"/>
    <w:rsid w:val="0056247B"/>
    <w:rsid w:val="005B71A7"/>
    <w:rsid w:val="00702210"/>
    <w:rsid w:val="00AC2327"/>
    <w:rsid w:val="00B00E3E"/>
    <w:rsid w:val="00B33389"/>
    <w:rsid w:val="00DD6EB3"/>
    <w:rsid w:val="00E5375C"/>
    <w:rsid w:val="00E56FD2"/>
    <w:rsid w:val="00E62432"/>
    <w:rsid w:val="00F25276"/>
    <w:rsid w:val="00F750CF"/>
    <w:rsid w:val="00FE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4124"/>
  <w15:chartTrackingRefBased/>
  <w15:docId w15:val="{96E8ECEF-66A3-4BF7-8CBC-69F91E21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3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2136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1213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IPC2022-3</dc:creator>
  <cp:keywords/>
  <dc:description/>
  <cp:lastModifiedBy>IPC2022-3</cp:lastModifiedBy>
  <cp:revision>2</cp:revision>
  <dcterms:created xsi:type="dcterms:W3CDTF">2026-01-29T08:57:00Z</dcterms:created>
  <dcterms:modified xsi:type="dcterms:W3CDTF">2026-01-29T09:02:00Z</dcterms:modified>
</cp:coreProperties>
</file>