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76B7" w14:textId="77777777" w:rsidR="004D12E1" w:rsidRPr="008B18E6" w:rsidRDefault="004D12E1" w:rsidP="004D12E1">
      <w:pPr>
        <w:pStyle w:val="1"/>
        <w:jc w:val="right"/>
        <w:rPr>
          <w:rFonts w:ascii="Times New Roman" w:hAnsi="Times New Roman"/>
          <w:b/>
          <w:color w:val="auto"/>
          <w:kern w:val="32"/>
          <w:sz w:val="24"/>
          <w:szCs w:val="24"/>
          <w:lang w:val="ro-RO"/>
        </w:rPr>
      </w:pPr>
      <w:bookmarkStart w:id="0" w:name="_Toc220430876"/>
      <w:r w:rsidRPr="008B18E6">
        <w:rPr>
          <w:rFonts w:ascii="Times New Roman" w:hAnsi="Times New Roman"/>
          <w:b/>
          <w:color w:val="auto"/>
          <w:kern w:val="32"/>
          <w:sz w:val="24"/>
          <w:szCs w:val="24"/>
          <w:lang w:val="ro-RO"/>
        </w:rPr>
        <w:t>Anexa nr. 1</w:t>
      </w:r>
      <w:bookmarkEnd w:id="0"/>
    </w:p>
    <w:p w14:paraId="7CF10825" w14:textId="77777777" w:rsidR="004D12E1" w:rsidRPr="00850797" w:rsidRDefault="004D12E1" w:rsidP="004D12E1">
      <w:pPr>
        <w:pStyle w:val="2"/>
        <w:jc w:val="center"/>
        <w:rPr>
          <w:rFonts w:ascii="Times New Roman" w:hAnsi="Times New Roman"/>
          <w:b/>
          <w:bCs/>
          <w:color w:val="auto"/>
          <w:kern w:val="32"/>
          <w:sz w:val="24"/>
          <w:szCs w:val="24"/>
          <w:lang w:val="ro-RO"/>
        </w:rPr>
      </w:pPr>
      <w:bookmarkStart w:id="1" w:name="_Toc220430877"/>
      <w:r w:rsidRPr="00850797">
        <w:rPr>
          <w:rFonts w:ascii="Times New Roman" w:hAnsi="Times New Roman"/>
          <w:b/>
          <w:bCs/>
          <w:color w:val="auto"/>
          <w:kern w:val="32"/>
          <w:sz w:val="24"/>
          <w:szCs w:val="24"/>
          <w:lang w:val="ro-RO"/>
        </w:rPr>
        <w:t>Rezumatul activității și a rezultatelor obținute în subprogram în anul 2025</w:t>
      </w:r>
      <w:bookmarkEnd w:id="1"/>
    </w:p>
    <w:p w14:paraId="45D26016" w14:textId="77777777" w:rsidR="004D12E1" w:rsidRPr="00513990" w:rsidRDefault="004D12E1" w:rsidP="004D12E1">
      <w:pPr>
        <w:spacing w:after="0" w:line="240" w:lineRule="auto"/>
        <w:ind w:left="360"/>
        <w:jc w:val="center"/>
        <w:rPr>
          <w:rFonts w:ascii="Times New Roman" w:eastAsia="Times New Roman" w:hAnsi="Times New Roman"/>
          <w:sz w:val="24"/>
          <w:szCs w:val="24"/>
          <w:lang w:val="ro-RO"/>
        </w:rPr>
      </w:pPr>
      <w:r w:rsidRPr="00513990">
        <w:rPr>
          <w:rFonts w:ascii="Times New Roman" w:eastAsia="Times New Roman" w:hAnsi="Times New Roman"/>
          <w:b/>
          <w:bCs/>
          <w:color w:val="000000"/>
          <w:sz w:val="24"/>
          <w:szCs w:val="24"/>
          <w:u w:val="single"/>
          <w:lang w:val="ro-RO"/>
        </w:rPr>
        <w:t>Tranziția demografică în Republica Moldova: particularități, implicații socioeconomice și consolidarea rezilienței demografice (2024-2027)</w:t>
      </w:r>
    </w:p>
    <w:p w14:paraId="32BD1485" w14:textId="77777777" w:rsidR="004D12E1" w:rsidRPr="00513990" w:rsidRDefault="004D12E1" w:rsidP="004D12E1">
      <w:pPr>
        <w:spacing w:after="0" w:line="360" w:lineRule="auto"/>
        <w:rPr>
          <w:rFonts w:ascii="Times New Roman" w:eastAsia="Times New Roman" w:hAnsi="Times New Roman"/>
          <w:b/>
          <w:sz w:val="24"/>
          <w:szCs w:val="24"/>
          <w:u w:val="single"/>
          <w:lang w:val="ro-RO"/>
        </w:rPr>
      </w:pPr>
      <w:r w:rsidRPr="00513990">
        <w:rPr>
          <w:rFonts w:ascii="Times New Roman" w:hAnsi="Times New Roman"/>
          <w:b/>
          <w:sz w:val="24"/>
          <w:szCs w:val="24"/>
          <w:lang w:val="ro-RO"/>
        </w:rPr>
        <w:t xml:space="preserve">Codul </w:t>
      </w:r>
      <w:r w:rsidRPr="00513990">
        <w:rPr>
          <w:rFonts w:ascii="Times New Roman" w:hAnsi="Times New Roman"/>
          <w:b/>
          <w:color w:val="000000"/>
          <w:kern w:val="32"/>
          <w:sz w:val="24"/>
          <w:szCs w:val="24"/>
          <w:lang w:val="ro-RO"/>
        </w:rPr>
        <w:t>subprogram</w:t>
      </w:r>
      <w:r w:rsidRPr="00513990">
        <w:rPr>
          <w:rFonts w:ascii="Times New Roman" w:hAnsi="Times New Roman"/>
          <w:b/>
          <w:sz w:val="24"/>
          <w:szCs w:val="24"/>
          <w:lang w:val="ro-RO"/>
        </w:rPr>
        <w:t xml:space="preserve">ului </w:t>
      </w:r>
      <w:r w:rsidRPr="00513990">
        <w:rPr>
          <w:rFonts w:ascii="Times New Roman" w:eastAsia="Times New Roman" w:hAnsi="Times New Roman"/>
          <w:b/>
          <w:sz w:val="24"/>
          <w:szCs w:val="24"/>
          <w:u w:val="single"/>
          <w:lang w:val="ro-RO"/>
        </w:rPr>
        <w:t>030102</w:t>
      </w:r>
    </w:p>
    <w:p w14:paraId="1AC8F4B5" w14:textId="77777777" w:rsidR="004D12E1" w:rsidRPr="00981807" w:rsidRDefault="004D12E1" w:rsidP="004D12E1">
      <w:pPr>
        <w:spacing w:after="0" w:line="240" w:lineRule="auto"/>
        <w:ind w:firstLine="706"/>
        <w:jc w:val="both"/>
        <w:rPr>
          <w:rFonts w:ascii="Times New Roman" w:hAnsi="Times New Roman"/>
          <w:bCs/>
          <w:spacing w:val="-6"/>
          <w:sz w:val="24"/>
          <w:szCs w:val="24"/>
          <w:lang w:val="ro-RO"/>
        </w:rPr>
      </w:pPr>
      <w:r w:rsidRPr="00981807">
        <w:rPr>
          <w:rFonts w:ascii="Times New Roman" w:hAnsi="Times New Roman"/>
          <w:bCs/>
          <w:spacing w:val="-6"/>
          <w:sz w:val="24"/>
          <w:szCs w:val="24"/>
          <w:lang w:val="ro-RO"/>
        </w:rPr>
        <w:t>În anul 2025, activitățile desfășurate în cadrul subprogramului de cercetare în domeniul demografiei au urmărit analiza aprofundată a proceselor demografice structurale și dezvoltarea instrumentelor analitice necesare fundamentării politicilor publice și planificării socioeconomice în Republica Moldova, în contextul declinului demografic și al accentuării îmbătrânirii populației.  În ansamblu, activitatea subprogramului în anul 2025 a consolidat baza empirică și analitică necesară pentru înțelegerea proceselor demografice actuale și a contribuit la susținerea politicilor publice în domeniul populației și dezvoltării socioeconomice prin aplicarea metodologiilor demografice și econometrice consacrate.</w:t>
      </w:r>
    </w:p>
    <w:p w14:paraId="2A6074AF" w14:textId="77777777" w:rsidR="004D12E1" w:rsidRPr="00981807" w:rsidRDefault="004D12E1" w:rsidP="004D12E1">
      <w:pPr>
        <w:spacing w:after="0" w:line="240" w:lineRule="auto"/>
        <w:ind w:firstLine="706"/>
        <w:jc w:val="both"/>
        <w:rPr>
          <w:rFonts w:ascii="Times New Roman" w:hAnsi="Times New Roman"/>
          <w:bCs/>
          <w:spacing w:val="-6"/>
          <w:sz w:val="24"/>
          <w:szCs w:val="24"/>
          <w:lang w:val="ro-RO"/>
        </w:rPr>
      </w:pPr>
      <w:r w:rsidRPr="00981807">
        <w:rPr>
          <w:rFonts w:ascii="Times New Roman" w:hAnsi="Times New Roman"/>
          <w:bCs/>
          <w:spacing w:val="-6"/>
          <w:sz w:val="24"/>
          <w:szCs w:val="24"/>
          <w:lang w:val="ro-RO"/>
        </w:rPr>
        <w:t xml:space="preserve">Un rezultat științific major al etapei 2025 este elaborarea </w:t>
      </w:r>
      <w:r w:rsidRPr="00981807">
        <w:rPr>
          <w:rFonts w:ascii="Times New Roman" w:hAnsi="Times New Roman"/>
          <w:bCs/>
          <w:i/>
          <w:iCs/>
          <w:spacing w:val="-6"/>
          <w:sz w:val="24"/>
          <w:szCs w:val="24"/>
          <w:lang w:val="ro-RO"/>
        </w:rPr>
        <w:t>Prognozei demografice a populației Republicii Moldova, seria 2025–2040</w:t>
      </w:r>
      <w:r w:rsidRPr="00981807">
        <w:rPr>
          <w:rFonts w:ascii="Times New Roman" w:hAnsi="Times New Roman"/>
          <w:bCs/>
          <w:spacing w:val="-6"/>
          <w:sz w:val="24"/>
          <w:szCs w:val="24"/>
          <w:lang w:val="ro-RO"/>
        </w:rPr>
        <w:t>, realizată în conformitate cu HG nr. 78 din 17 aprilie 2024, care stabilește responsabilitatea Centrului Cercetări Demografice al INCE pentru prezentarea anuală a prognozei oficiale. Prognoza a fost elaborată pe baza unui cadru metodologic actualizat, utilizând datele RPL 2024, seriile statistice oficiale ale BNS și ipoteze demografice fundamentate empiric. Rezultatele prognozei evidențiază tendințe persistente de reducere numerică a populației, accelerarea procesului de îmbătrânire demografică și modificări semnificative ale structurii pe vârste, cu implicații directe asupra pieței muncii, sistemului de pensii, serviciilor sociale și planificării teritoriale. Prognoza 2025–2040 a fost prezentată în cadrul dialogului cu autoritățile publice centrale și a constituit un instrument de bază pentru planificarea socială și economică pe termen mediu și lung.</w:t>
      </w:r>
    </w:p>
    <w:p w14:paraId="51692880" w14:textId="77777777" w:rsidR="004D12E1" w:rsidRPr="00981807" w:rsidRDefault="004D12E1" w:rsidP="004D12E1">
      <w:pPr>
        <w:spacing w:after="0" w:line="240" w:lineRule="auto"/>
        <w:ind w:firstLine="706"/>
        <w:jc w:val="both"/>
        <w:rPr>
          <w:rFonts w:ascii="Times New Roman" w:hAnsi="Times New Roman"/>
          <w:bCs/>
          <w:spacing w:val="-6"/>
          <w:sz w:val="24"/>
          <w:szCs w:val="24"/>
          <w:lang w:val="ro-RO"/>
        </w:rPr>
      </w:pPr>
      <w:r w:rsidRPr="00981807">
        <w:rPr>
          <w:rFonts w:ascii="Times New Roman" w:hAnsi="Times New Roman"/>
          <w:bCs/>
          <w:spacing w:val="-6"/>
          <w:sz w:val="24"/>
          <w:szCs w:val="24"/>
          <w:lang w:val="ro-RO"/>
        </w:rPr>
        <w:t xml:space="preserve">Un alt rezultat important îl reprezintă calcularea și analiza </w:t>
      </w:r>
      <w:r w:rsidRPr="00981807">
        <w:rPr>
          <w:rFonts w:ascii="Times New Roman" w:hAnsi="Times New Roman"/>
          <w:bCs/>
          <w:i/>
          <w:iCs/>
          <w:spacing w:val="-6"/>
          <w:sz w:val="24"/>
          <w:szCs w:val="24"/>
          <w:lang w:val="ro-RO"/>
        </w:rPr>
        <w:t>Indicelui Îmbătrânirii Active (IÎA), ediția 2024</w:t>
      </w:r>
      <w:r w:rsidRPr="00981807">
        <w:rPr>
          <w:rFonts w:ascii="Times New Roman" w:hAnsi="Times New Roman"/>
          <w:bCs/>
          <w:spacing w:val="-6"/>
          <w:sz w:val="24"/>
          <w:szCs w:val="24"/>
          <w:lang w:val="ro-RO"/>
        </w:rPr>
        <w:t>, instrument analitic utilizat pentru evaluarea gradului de valorificare a potențialului persoanelor de 55 de ani și peste. Aplicarea metodologiei IÎA a permis analiza comparativă a evoluțiilor înregistrate în Moldova pe principalele domenii ale îmbătrânirii active, evidențiind atât progresele realizate, cât și decalajele persistente între sexe, medii de reședință. Rezultatele IÎA 2024 au oferit o bază empirică solidă pentru monitorizarea impactului politicilor publice și pentru formularea de recomandări orientate spre extinderea participării economice și sociale a persoanelor în vârstă.</w:t>
      </w:r>
    </w:p>
    <w:p w14:paraId="4A43A8EA" w14:textId="77777777" w:rsidR="004D12E1" w:rsidRPr="00981807" w:rsidRDefault="004D12E1" w:rsidP="004D12E1">
      <w:pPr>
        <w:spacing w:after="0" w:line="240" w:lineRule="auto"/>
        <w:ind w:firstLine="706"/>
        <w:jc w:val="both"/>
        <w:rPr>
          <w:rFonts w:ascii="Times New Roman" w:hAnsi="Times New Roman"/>
          <w:bCs/>
          <w:spacing w:val="-6"/>
          <w:sz w:val="24"/>
          <w:szCs w:val="24"/>
          <w:lang w:val="ro-RO"/>
        </w:rPr>
      </w:pPr>
      <w:r w:rsidRPr="00981807">
        <w:rPr>
          <w:rFonts w:ascii="Times New Roman" w:hAnsi="Times New Roman"/>
          <w:bCs/>
          <w:spacing w:val="-6"/>
          <w:sz w:val="24"/>
          <w:szCs w:val="24"/>
          <w:lang w:val="ro-RO"/>
        </w:rPr>
        <w:t xml:space="preserve">Pe lângă rezultatele cu impact sistemic, au fost realizate studii tematice aprofundate privind mortalitatea prematură și speranța de viață, fertilitatea și comportamentele familiale, precum și migrația internă și internațională, cu accent pe implicațiile acestora asupra structurii populației și coeziunii teritoriale. Valorificarea datelor </w:t>
      </w:r>
      <w:r w:rsidRPr="00981807">
        <w:rPr>
          <w:rFonts w:ascii="Times New Roman" w:hAnsi="Times New Roman"/>
          <w:bCs/>
          <w:i/>
          <w:iCs/>
          <w:spacing w:val="-6"/>
          <w:sz w:val="24"/>
          <w:szCs w:val="24"/>
          <w:lang w:val="ro-RO"/>
        </w:rPr>
        <w:t>RPL 2024</w:t>
      </w:r>
      <w:r w:rsidRPr="00981807">
        <w:rPr>
          <w:rFonts w:ascii="Times New Roman" w:hAnsi="Times New Roman"/>
          <w:bCs/>
          <w:spacing w:val="-6"/>
          <w:sz w:val="24"/>
          <w:szCs w:val="24"/>
          <w:lang w:val="ro-RO"/>
        </w:rPr>
        <w:t xml:space="preserve"> și ale studiului </w:t>
      </w:r>
      <w:r w:rsidRPr="00981807">
        <w:rPr>
          <w:rFonts w:ascii="Times New Roman" w:hAnsi="Times New Roman"/>
          <w:bCs/>
          <w:i/>
          <w:iCs/>
          <w:spacing w:val="-6"/>
          <w:sz w:val="24"/>
          <w:szCs w:val="24"/>
          <w:lang w:val="ro-RO"/>
        </w:rPr>
        <w:t>Generații și Gen (Valul II, 2024)</w:t>
      </w:r>
      <w:r w:rsidRPr="00981807">
        <w:rPr>
          <w:rFonts w:ascii="Times New Roman" w:hAnsi="Times New Roman"/>
          <w:bCs/>
          <w:spacing w:val="-6"/>
          <w:sz w:val="24"/>
          <w:szCs w:val="24"/>
          <w:lang w:val="ro-RO"/>
        </w:rPr>
        <w:t xml:space="preserve"> a permis actualizarea analizelor structurale ale populației pe vârste și evidențierea dezechilibrelor demografice regionale, a diferențelor urban–rural și a accentuării procesului de îmbătrânire demografică în anumite unități administrativ-teritoriale. Rezultatele au fost utilizate în intervenții analitice destinate administrației publice locale, în vederea fundamentării deciziilor și a planificării socioeconomice bazate pe date.</w:t>
      </w:r>
    </w:p>
    <w:p w14:paraId="20B400DC" w14:textId="77777777" w:rsidR="004D12E1" w:rsidRPr="00981807" w:rsidRDefault="004D12E1" w:rsidP="004D12E1">
      <w:pPr>
        <w:spacing w:after="0" w:line="240" w:lineRule="auto"/>
        <w:ind w:firstLine="706"/>
        <w:jc w:val="both"/>
        <w:rPr>
          <w:rFonts w:ascii="Times New Roman" w:hAnsi="Times New Roman"/>
          <w:bCs/>
          <w:spacing w:val="-6"/>
          <w:sz w:val="24"/>
          <w:szCs w:val="24"/>
          <w:lang w:val="ro-RO"/>
        </w:rPr>
      </w:pPr>
      <w:r w:rsidRPr="00981807">
        <w:rPr>
          <w:rFonts w:ascii="Times New Roman" w:hAnsi="Times New Roman"/>
          <w:bCs/>
          <w:spacing w:val="-6"/>
          <w:sz w:val="24"/>
          <w:szCs w:val="24"/>
          <w:lang w:val="ro-RO"/>
        </w:rPr>
        <w:t>În paralel, s-a pus accent și pe dezvoltarea capacităților științifice ale echipei de cercetare prin participarea la cursuri de formare continuă, ateliere metodologice și programe de instruire în domeniul analizei datelor longitudinale, utilizării software-ului statistic, inteligenței artificiale aplicate în cercetare ș.a. Aceste activități au sprijinit creșterea calității și rigurozității cercetărilor realizate.</w:t>
      </w:r>
    </w:p>
    <w:p w14:paraId="3491C852" w14:textId="77777777" w:rsidR="004D12E1" w:rsidRPr="00A669D2" w:rsidRDefault="004D12E1" w:rsidP="004D12E1">
      <w:pPr>
        <w:spacing w:after="0" w:line="240" w:lineRule="auto"/>
        <w:ind w:firstLine="706"/>
        <w:jc w:val="both"/>
        <w:rPr>
          <w:rFonts w:ascii="Times New Roman" w:hAnsi="Times New Roman"/>
          <w:bCs/>
          <w:spacing w:val="-6"/>
          <w:sz w:val="24"/>
          <w:szCs w:val="24"/>
          <w:lang w:val="ro-RO"/>
        </w:rPr>
      </w:pPr>
      <w:r w:rsidRPr="00A669D2">
        <w:rPr>
          <w:rFonts w:ascii="Times New Roman" w:hAnsi="Times New Roman"/>
          <w:bCs/>
          <w:spacing w:val="-6"/>
          <w:sz w:val="24"/>
          <w:szCs w:val="24"/>
          <w:lang w:val="ro-RO"/>
        </w:rPr>
        <w:t xml:space="preserve">Rezultatele științifice obținute în 2025 au fost diseminate în 36 de publicații (inclusiv 3 indexate în </w:t>
      </w:r>
      <w:proofErr w:type="spellStart"/>
      <w:r w:rsidRPr="00A669D2">
        <w:rPr>
          <w:rFonts w:ascii="Times New Roman" w:hAnsi="Times New Roman"/>
          <w:bCs/>
          <w:spacing w:val="-6"/>
          <w:sz w:val="24"/>
          <w:szCs w:val="24"/>
          <w:lang w:val="ro-RO"/>
        </w:rPr>
        <w:t>WoS</w:t>
      </w:r>
      <w:proofErr w:type="spellEnd"/>
      <w:r w:rsidRPr="00A669D2">
        <w:rPr>
          <w:rFonts w:ascii="Times New Roman" w:hAnsi="Times New Roman"/>
          <w:bCs/>
          <w:spacing w:val="-6"/>
          <w:sz w:val="24"/>
          <w:szCs w:val="24"/>
          <w:lang w:val="ro-RO"/>
        </w:rPr>
        <w:t xml:space="preserve"> și SCOPUS;</w:t>
      </w:r>
      <w:r>
        <w:rPr>
          <w:rFonts w:ascii="Times New Roman" w:hAnsi="Times New Roman"/>
          <w:bCs/>
          <w:spacing w:val="-6"/>
          <w:sz w:val="24"/>
          <w:szCs w:val="24"/>
          <w:lang w:val="ro-RO"/>
        </w:rPr>
        <w:t xml:space="preserve"> </w:t>
      </w:r>
      <w:r w:rsidRPr="00A669D2">
        <w:rPr>
          <w:rFonts w:ascii="Times New Roman" w:hAnsi="Times New Roman"/>
          <w:bCs/>
          <w:spacing w:val="-6"/>
          <w:sz w:val="24"/>
          <w:szCs w:val="24"/>
          <w:lang w:val="ro-RO"/>
        </w:rPr>
        <w:t>1 carte de specialitate, 4 rapoarte analitice și materiale de tip orient</w:t>
      </w:r>
      <w:r>
        <w:rPr>
          <w:rFonts w:ascii="Times New Roman" w:hAnsi="Times New Roman"/>
          <w:bCs/>
          <w:spacing w:val="-6"/>
          <w:sz w:val="24"/>
          <w:szCs w:val="24"/>
          <w:lang w:val="ro-RO"/>
        </w:rPr>
        <w:t>are pe politici</w:t>
      </w:r>
      <w:r w:rsidRPr="00A669D2">
        <w:rPr>
          <w:rFonts w:ascii="Times New Roman" w:hAnsi="Times New Roman"/>
          <w:bCs/>
          <w:spacing w:val="-6"/>
          <w:sz w:val="24"/>
          <w:szCs w:val="24"/>
          <w:lang w:val="ro-RO"/>
        </w:rPr>
        <w:t xml:space="preserve">, 3 capitole în monografie internațională, 1 suport de curs și alte lucrări științifice). Rezultatele au fost promovate în cadrul a 53 rapoarte prezentate la foruri științifice dintre care 40 la conferințe internaționale; la 3 mese rotunde naționale organizate în cadrul subprogramului și </w:t>
      </w:r>
      <w:r>
        <w:rPr>
          <w:rFonts w:ascii="Times New Roman" w:hAnsi="Times New Roman"/>
          <w:bCs/>
          <w:spacing w:val="-6"/>
          <w:sz w:val="24"/>
          <w:szCs w:val="24"/>
          <w:lang w:val="ro-RO"/>
        </w:rPr>
        <w:t>1</w:t>
      </w:r>
      <w:r w:rsidRPr="00A669D2">
        <w:rPr>
          <w:rFonts w:ascii="Times New Roman" w:hAnsi="Times New Roman"/>
          <w:bCs/>
          <w:spacing w:val="-6"/>
          <w:sz w:val="24"/>
          <w:szCs w:val="24"/>
          <w:lang w:val="ro-RO"/>
        </w:rPr>
        <w:t xml:space="preserve"> sesiun</w:t>
      </w:r>
      <w:r>
        <w:rPr>
          <w:rFonts w:ascii="Times New Roman" w:hAnsi="Times New Roman"/>
          <w:bCs/>
          <w:spacing w:val="-6"/>
          <w:sz w:val="24"/>
          <w:szCs w:val="24"/>
          <w:lang w:val="ro-RO"/>
        </w:rPr>
        <w:t>e</w:t>
      </w:r>
      <w:r w:rsidRPr="00A669D2">
        <w:rPr>
          <w:rFonts w:ascii="Times New Roman" w:hAnsi="Times New Roman"/>
          <w:bCs/>
          <w:spacing w:val="-6"/>
          <w:sz w:val="24"/>
          <w:szCs w:val="24"/>
          <w:lang w:val="ro-RO"/>
        </w:rPr>
        <w:t xml:space="preserve"> internațional</w:t>
      </w:r>
      <w:r>
        <w:rPr>
          <w:rFonts w:ascii="Times New Roman" w:hAnsi="Times New Roman"/>
          <w:bCs/>
          <w:spacing w:val="-6"/>
          <w:sz w:val="24"/>
          <w:szCs w:val="24"/>
          <w:lang w:val="ro-RO"/>
        </w:rPr>
        <w:t>ă</w:t>
      </w:r>
      <w:r w:rsidRPr="00A669D2">
        <w:rPr>
          <w:rFonts w:ascii="Times New Roman" w:hAnsi="Times New Roman"/>
          <w:bCs/>
          <w:spacing w:val="-6"/>
          <w:sz w:val="24"/>
          <w:szCs w:val="24"/>
          <w:lang w:val="ro-RO"/>
        </w:rPr>
        <w:t xml:space="preserve"> "Building </w:t>
      </w:r>
      <w:proofErr w:type="spellStart"/>
      <w:r w:rsidRPr="00A669D2">
        <w:rPr>
          <w:rFonts w:ascii="Times New Roman" w:hAnsi="Times New Roman"/>
          <w:bCs/>
          <w:spacing w:val="-6"/>
          <w:sz w:val="24"/>
          <w:szCs w:val="24"/>
          <w:lang w:val="ro-RO"/>
        </w:rPr>
        <w:t>demographic</w:t>
      </w:r>
      <w:proofErr w:type="spellEnd"/>
      <w:r w:rsidRPr="00A669D2">
        <w:rPr>
          <w:rFonts w:ascii="Times New Roman" w:hAnsi="Times New Roman"/>
          <w:bCs/>
          <w:spacing w:val="-6"/>
          <w:sz w:val="24"/>
          <w:szCs w:val="24"/>
          <w:lang w:val="ro-RO"/>
        </w:rPr>
        <w:t xml:space="preserve"> </w:t>
      </w:r>
      <w:proofErr w:type="spellStart"/>
      <w:r w:rsidRPr="00A669D2">
        <w:rPr>
          <w:rFonts w:ascii="Times New Roman" w:hAnsi="Times New Roman"/>
          <w:bCs/>
          <w:spacing w:val="-6"/>
          <w:sz w:val="24"/>
          <w:szCs w:val="24"/>
          <w:lang w:val="ro-RO"/>
        </w:rPr>
        <w:t>resilience</w:t>
      </w:r>
      <w:proofErr w:type="spellEnd"/>
      <w:r w:rsidRPr="00A669D2">
        <w:rPr>
          <w:rFonts w:ascii="Times New Roman" w:hAnsi="Times New Roman"/>
          <w:bCs/>
          <w:spacing w:val="-6"/>
          <w:sz w:val="24"/>
          <w:szCs w:val="24"/>
          <w:lang w:val="ro-RO"/>
        </w:rPr>
        <w:t xml:space="preserve">: </w:t>
      </w:r>
      <w:proofErr w:type="spellStart"/>
      <w:r w:rsidRPr="00A669D2">
        <w:rPr>
          <w:rFonts w:ascii="Times New Roman" w:hAnsi="Times New Roman"/>
          <w:bCs/>
          <w:spacing w:val="-6"/>
          <w:sz w:val="24"/>
          <w:szCs w:val="24"/>
          <w:lang w:val="ro-RO"/>
        </w:rPr>
        <w:t>strategies</w:t>
      </w:r>
      <w:proofErr w:type="spellEnd"/>
      <w:r w:rsidRPr="00A669D2">
        <w:rPr>
          <w:rFonts w:ascii="Times New Roman" w:hAnsi="Times New Roman"/>
          <w:bCs/>
          <w:spacing w:val="-6"/>
          <w:sz w:val="24"/>
          <w:szCs w:val="24"/>
          <w:lang w:val="ro-RO"/>
        </w:rPr>
        <w:t xml:space="preserve"> for </w:t>
      </w:r>
      <w:proofErr w:type="spellStart"/>
      <w:r w:rsidRPr="00A669D2">
        <w:rPr>
          <w:rFonts w:ascii="Times New Roman" w:hAnsi="Times New Roman"/>
          <w:bCs/>
          <w:spacing w:val="-6"/>
          <w:sz w:val="24"/>
          <w:szCs w:val="24"/>
          <w:lang w:val="ro-RO"/>
        </w:rPr>
        <w:t>sustainable</w:t>
      </w:r>
      <w:proofErr w:type="spellEnd"/>
      <w:r w:rsidRPr="00A669D2">
        <w:rPr>
          <w:rFonts w:ascii="Times New Roman" w:hAnsi="Times New Roman"/>
          <w:bCs/>
          <w:spacing w:val="-6"/>
          <w:sz w:val="24"/>
          <w:szCs w:val="24"/>
          <w:lang w:val="ro-RO"/>
        </w:rPr>
        <w:t xml:space="preserve"> </w:t>
      </w:r>
      <w:proofErr w:type="spellStart"/>
      <w:r w:rsidRPr="00A669D2">
        <w:rPr>
          <w:rFonts w:ascii="Times New Roman" w:hAnsi="Times New Roman"/>
          <w:bCs/>
          <w:spacing w:val="-6"/>
          <w:sz w:val="24"/>
          <w:szCs w:val="24"/>
          <w:lang w:val="ro-RO"/>
        </w:rPr>
        <w:t>population</w:t>
      </w:r>
      <w:proofErr w:type="spellEnd"/>
      <w:r w:rsidRPr="00A669D2">
        <w:rPr>
          <w:rFonts w:ascii="Times New Roman" w:hAnsi="Times New Roman"/>
          <w:bCs/>
          <w:spacing w:val="-6"/>
          <w:sz w:val="24"/>
          <w:szCs w:val="24"/>
          <w:lang w:val="ro-RO"/>
        </w:rPr>
        <w:t xml:space="preserve"> </w:t>
      </w:r>
      <w:proofErr w:type="spellStart"/>
      <w:r w:rsidRPr="00A669D2">
        <w:rPr>
          <w:rFonts w:ascii="Times New Roman" w:hAnsi="Times New Roman"/>
          <w:bCs/>
          <w:spacing w:val="-6"/>
          <w:sz w:val="24"/>
          <w:szCs w:val="24"/>
          <w:lang w:val="ro-RO"/>
        </w:rPr>
        <w:t>development</w:t>
      </w:r>
      <w:proofErr w:type="spellEnd"/>
      <w:r w:rsidRPr="00A669D2">
        <w:rPr>
          <w:rFonts w:ascii="Times New Roman" w:hAnsi="Times New Roman"/>
          <w:bCs/>
          <w:spacing w:val="-6"/>
          <w:sz w:val="24"/>
          <w:szCs w:val="24"/>
          <w:lang w:val="ro-RO"/>
        </w:rPr>
        <w:t xml:space="preserve">" (Conferința Internațională </w:t>
      </w:r>
      <w:proofErr w:type="spellStart"/>
      <w:r w:rsidRPr="00A669D2">
        <w:rPr>
          <w:rFonts w:ascii="Times New Roman" w:hAnsi="Times New Roman"/>
          <w:bCs/>
          <w:spacing w:val="-6"/>
          <w:sz w:val="24"/>
          <w:szCs w:val="24"/>
          <w:lang w:val="ro-RO"/>
        </w:rPr>
        <w:t>Științifico</w:t>
      </w:r>
      <w:proofErr w:type="spellEnd"/>
      <w:r w:rsidRPr="00A669D2">
        <w:rPr>
          <w:rFonts w:ascii="Times New Roman" w:hAnsi="Times New Roman"/>
          <w:bCs/>
          <w:spacing w:val="-6"/>
          <w:sz w:val="24"/>
          <w:szCs w:val="24"/>
          <w:lang w:val="ro-RO"/>
        </w:rPr>
        <w:t xml:space="preserve">-Practică "Economic </w:t>
      </w:r>
      <w:proofErr w:type="spellStart"/>
      <w:r w:rsidRPr="00A669D2">
        <w:rPr>
          <w:rFonts w:ascii="Times New Roman" w:hAnsi="Times New Roman"/>
          <w:bCs/>
          <w:spacing w:val="-6"/>
          <w:sz w:val="24"/>
          <w:szCs w:val="24"/>
          <w:lang w:val="ro-RO"/>
        </w:rPr>
        <w:t>Growth</w:t>
      </w:r>
      <w:proofErr w:type="spellEnd"/>
      <w:r w:rsidRPr="00A669D2">
        <w:rPr>
          <w:rFonts w:ascii="Times New Roman" w:hAnsi="Times New Roman"/>
          <w:bCs/>
          <w:spacing w:val="-6"/>
          <w:sz w:val="24"/>
          <w:szCs w:val="24"/>
          <w:lang w:val="ro-RO"/>
        </w:rPr>
        <w:t xml:space="preserve"> in </w:t>
      </w:r>
      <w:proofErr w:type="spellStart"/>
      <w:r w:rsidRPr="00A669D2">
        <w:rPr>
          <w:rFonts w:ascii="Times New Roman" w:hAnsi="Times New Roman"/>
          <w:bCs/>
          <w:spacing w:val="-6"/>
          <w:sz w:val="24"/>
          <w:szCs w:val="24"/>
          <w:lang w:val="ro-RO"/>
        </w:rPr>
        <w:t>the</w:t>
      </w:r>
      <w:proofErr w:type="spellEnd"/>
      <w:r w:rsidRPr="00A669D2">
        <w:rPr>
          <w:rFonts w:ascii="Times New Roman" w:hAnsi="Times New Roman"/>
          <w:bCs/>
          <w:spacing w:val="-6"/>
          <w:sz w:val="24"/>
          <w:szCs w:val="24"/>
          <w:lang w:val="ro-RO"/>
        </w:rPr>
        <w:t xml:space="preserve"> Face of Global </w:t>
      </w:r>
      <w:proofErr w:type="spellStart"/>
      <w:r w:rsidRPr="00A669D2">
        <w:rPr>
          <w:rFonts w:ascii="Times New Roman" w:hAnsi="Times New Roman"/>
          <w:bCs/>
          <w:spacing w:val="-6"/>
          <w:sz w:val="24"/>
          <w:szCs w:val="24"/>
          <w:lang w:val="ro-RO"/>
        </w:rPr>
        <w:t>Challenges</w:t>
      </w:r>
      <w:proofErr w:type="spellEnd"/>
      <w:r w:rsidRPr="00A669D2">
        <w:rPr>
          <w:rFonts w:ascii="Times New Roman" w:hAnsi="Times New Roman"/>
          <w:bCs/>
          <w:spacing w:val="-6"/>
          <w:sz w:val="24"/>
          <w:szCs w:val="24"/>
          <w:lang w:val="ro-RO"/>
        </w:rPr>
        <w:t xml:space="preserve">", ediția a XIX-ea); </w:t>
      </w:r>
      <w:r>
        <w:rPr>
          <w:rFonts w:ascii="Times New Roman" w:hAnsi="Times New Roman"/>
          <w:bCs/>
          <w:spacing w:val="-6"/>
          <w:sz w:val="24"/>
          <w:szCs w:val="24"/>
          <w:lang w:val="ro-RO"/>
        </w:rPr>
        <w:t>11</w:t>
      </w:r>
      <w:r w:rsidRPr="00A669D2">
        <w:rPr>
          <w:rFonts w:ascii="Times New Roman" w:hAnsi="Times New Roman"/>
          <w:bCs/>
          <w:spacing w:val="-6"/>
          <w:sz w:val="24"/>
          <w:szCs w:val="24"/>
          <w:lang w:val="ro-RO"/>
        </w:rPr>
        <w:t xml:space="preserve"> postere prezentate la 3 Expoziții internaționale (</w:t>
      </w:r>
      <w:proofErr w:type="spellStart"/>
      <w:r w:rsidRPr="00A669D2">
        <w:rPr>
          <w:rFonts w:ascii="Times New Roman" w:hAnsi="Times New Roman"/>
          <w:bCs/>
          <w:spacing w:val="-6"/>
          <w:sz w:val="24"/>
          <w:szCs w:val="24"/>
          <w:lang w:val="ro-RO"/>
        </w:rPr>
        <w:t>EuroInvent</w:t>
      </w:r>
      <w:proofErr w:type="spellEnd"/>
      <w:r w:rsidRPr="00A669D2">
        <w:rPr>
          <w:rFonts w:ascii="Times New Roman" w:hAnsi="Times New Roman"/>
          <w:bCs/>
          <w:spacing w:val="-6"/>
          <w:sz w:val="24"/>
          <w:szCs w:val="24"/>
          <w:lang w:val="ro-RO"/>
        </w:rPr>
        <w:t xml:space="preserve"> 2025, Iași, România; </w:t>
      </w:r>
      <w:proofErr w:type="spellStart"/>
      <w:r w:rsidRPr="00A669D2">
        <w:rPr>
          <w:rFonts w:ascii="Times New Roman" w:hAnsi="Times New Roman"/>
          <w:bCs/>
          <w:spacing w:val="-6"/>
          <w:sz w:val="24"/>
          <w:szCs w:val="24"/>
          <w:lang w:val="ro-RO"/>
        </w:rPr>
        <w:t>ExcelentIDEA</w:t>
      </w:r>
      <w:proofErr w:type="spellEnd"/>
      <w:r w:rsidRPr="00A669D2">
        <w:rPr>
          <w:rFonts w:ascii="Times New Roman" w:hAnsi="Times New Roman"/>
          <w:bCs/>
          <w:spacing w:val="-6"/>
          <w:sz w:val="24"/>
          <w:szCs w:val="24"/>
          <w:lang w:val="ro-RO"/>
        </w:rPr>
        <w:t xml:space="preserve"> 2025; </w:t>
      </w:r>
      <w:proofErr w:type="spellStart"/>
      <w:r w:rsidRPr="00A669D2">
        <w:rPr>
          <w:rFonts w:ascii="Times New Roman" w:hAnsi="Times New Roman"/>
          <w:bCs/>
          <w:spacing w:val="-6"/>
          <w:sz w:val="24"/>
          <w:szCs w:val="24"/>
          <w:lang w:val="ro-RO"/>
        </w:rPr>
        <w:t>Infoinvent</w:t>
      </w:r>
      <w:proofErr w:type="spellEnd"/>
      <w:r w:rsidRPr="00A669D2">
        <w:rPr>
          <w:rFonts w:ascii="Times New Roman" w:hAnsi="Times New Roman"/>
          <w:bCs/>
          <w:spacing w:val="-6"/>
          <w:sz w:val="24"/>
          <w:szCs w:val="24"/>
          <w:lang w:val="ro-RO"/>
        </w:rPr>
        <w:t xml:space="preserve"> 2025); 25 interviuri radio și TV de popularizare a științei. </w:t>
      </w:r>
    </w:p>
    <w:p w14:paraId="57BEC7CE" w14:textId="77777777" w:rsidR="004D12E1" w:rsidRPr="00850797" w:rsidRDefault="004D12E1" w:rsidP="004D12E1">
      <w:pPr>
        <w:pStyle w:val="2"/>
        <w:jc w:val="center"/>
        <w:rPr>
          <w:rFonts w:ascii="Times New Roman" w:hAnsi="Times New Roman"/>
          <w:b/>
          <w:bCs/>
          <w:color w:val="auto"/>
          <w:sz w:val="24"/>
          <w:szCs w:val="24"/>
          <w:lang w:val="en-GB"/>
        </w:rPr>
      </w:pPr>
      <w:bookmarkStart w:id="2" w:name="_Toc220430878"/>
      <w:r w:rsidRPr="00850797">
        <w:rPr>
          <w:rFonts w:ascii="Times New Roman" w:hAnsi="Times New Roman"/>
          <w:b/>
          <w:bCs/>
          <w:color w:val="auto"/>
          <w:sz w:val="24"/>
          <w:szCs w:val="24"/>
          <w:lang w:val="en-GB"/>
        </w:rPr>
        <w:lastRenderedPageBreak/>
        <w:t>Summary of the activity and results obtained in the subprogram in 2025</w:t>
      </w:r>
      <w:bookmarkEnd w:id="2"/>
    </w:p>
    <w:p w14:paraId="4D0417C1" w14:textId="77777777" w:rsidR="004D12E1" w:rsidRPr="00525C6E" w:rsidRDefault="004D12E1" w:rsidP="004D12E1">
      <w:pPr>
        <w:spacing w:after="0"/>
        <w:jc w:val="center"/>
        <w:rPr>
          <w:rFonts w:ascii="Times New Roman" w:hAnsi="Times New Roman"/>
          <w:b/>
          <w:bCs/>
          <w:sz w:val="24"/>
          <w:szCs w:val="24"/>
          <w:u w:val="single"/>
          <w:lang w:val="en-GB"/>
        </w:rPr>
      </w:pPr>
      <w:r w:rsidRPr="00525C6E">
        <w:rPr>
          <w:rFonts w:ascii="Times New Roman" w:hAnsi="Times New Roman"/>
          <w:b/>
          <w:bCs/>
          <w:sz w:val="24"/>
          <w:szCs w:val="24"/>
          <w:u w:val="single"/>
          <w:lang w:val="en-GB"/>
        </w:rPr>
        <w:t xml:space="preserve">The demographic transition in the Republic of Moldova: particularities, socioeconomic implications and demographic resilience straightening </w:t>
      </w:r>
      <w:r>
        <w:rPr>
          <w:rFonts w:ascii="Times New Roman" w:hAnsi="Times New Roman"/>
          <w:b/>
          <w:bCs/>
          <w:sz w:val="24"/>
          <w:szCs w:val="24"/>
          <w:u w:val="single"/>
          <w:lang w:val="en-GB"/>
        </w:rPr>
        <w:t>(2024-2027)</w:t>
      </w:r>
    </w:p>
    <w:p w14:paraId="311032DD" w14:textId="77777777" w:rsidR="004D12E1" w:rsidRPr="001F148C" w:rsidRDefault="004D12E1" w:rsidP="004D12E1">
      <w:pPr>
        <w:spacing w:after="0" w:line="240" w:lineRule="auto"/>
        <w:ind w:firstLine="706"/>
        <w:jc w:val="both"/>
        <w:rPr>
          <w:rFonts w:ascii="Times New Roman" w:hAnsi="Times New Roman"/>
          <w:bCs/>
          <w:iCs/>
          <w:spacing w:val="-6"/>
          <w:sz w:val="24"/>
          <w:szCs w:val="24"/>
          <w:lang w:val="en-GB"/>
        </w:rPr>
      </w:pPr>
      <w:r w:rsidRPr="001F148C">
        <w:rPr>
          <w:rFonts w:ascii="Times New Roman" w:hAnsi="Times New Roman"/>
          <w:bCs/>
          <w:iCs/>
          <w:spacing w:val="-6"/>
          <w:sz w:val="24"/>
          <w:szCs w:val="24"/>
          <w:lang w:val="en-GB"/>
        </w:rPr>
        <w:t>In 2025, the activities carried out under the research subprogram in the field of demography aimed at in-depth analysis of structural demographic processes and the development of analytical tools necessary for public policy and socioeconomic planning in the Republic of Moldova, in the context of demographic decline and population aging.  Overall, the subprogram's activity in 2025 strengthened the empirical and analytical basis necessary for understanding current demographic processes and contributed to supporting public policies in the field of population and socioeconomic development through the application of established demographic and econometric methodologies.</w:t>
      </w:r>
    </w:p>
    <w:p w14:paraId="557C0367" w14:textId="77777777" w:rsidR="004D12E1" w:rsidRPr="001F148C" w:rsidRDefault="004D12E1" w:rsidP="004D12E1">
      <w:pPr>
        <w:spacing w:after="0" w:line="240" w:lineRule="auto"/>
        <w:ind w:firstLine="706"/>
        <w:jc w:val="both"/>
        <w:rPr>
          <w:rFonts w:ascii="Times New Roman" w:hAnsi="Times New Roman"/>
          <w:bCs/>
          <w:iCs/>
          <w:spacing w:val="-6"/>
          <w:sz w:val="24"/>
          <w:szCs w:val="24"/>
          <w:lang w:val="en-GB"/>
        </w:rPr>
      </w:pPr>
      <w:r w:rsidRPr="001F148C">
        <w:rPr>
          <w:rFonts w:ascii="Times New Roman" w:hAnsi="Times New Roman"/>
          <w:bCs/>
          <w:iCs/>
          <w:spacing w:val="-6"/>
          <w:sz w:val="24"/>
          <w:szCs w:val="24"/>
          <w:lang w:val="en-GB"/>
        </w:rPr>
        <w:t xml:space="preserve">A major scientific achievement of the 2025 stage is the development of the </w:t>
      </w:r>
      <w:r w:rsidRPr="001F148C">
        <w:rPr>
          <w:rFonts w:ascii="Times New Roman" w:hAnsi="Times New Roman"/>
          <w:bCs/>
          <w:i/>
          <w:spacing w:val="-6"/>
          <w:sz w:val="24"/>
          <w:szCs w:val="24"/>
          <w:lang w:val="en-GB"/>
        </w:rPr>
        <w:t>Demographic Forecast for the Population of the Republic of Moldova, series 2025–2040</w:t>
      </w:r>
      <w:r w:rsidRPr="001F148C">
        <w:rPr>
          <w:rFonts w:ascii="Times New Roman" w:hAnsi="Times New Roman"/>
          <w:bCs/>
          <w:iCs/>
          <w:spacing w:val="-6"/>
          <w:sz w:val="24"/>
          <w:szCs w:val="24"/>
          <w:lang w:val="en-GB"/>
        </w:rPr>
        <w:t xml:space="preserve">, carried out in accordance with Government Decision No. 78 of April 17, 2024, which establishes the responsibility of the </w:t>
      </w:r>
      <w:proofErr w:type="spellStart"/>
      <w:r w:rsidRPr="001F148C">
        <w:rPr>
          <w:rFonts w:ascii="Times New Roman" w:hAnsi="Times New Roman"/>
          <w:bCs/>
          <w:iCs/>
          <w:spacing w:val="-6"/>
          <w:sz w:val="24"/>
          <w:szCs w:val="24"/>
          <w:lang w:val="en-GB"/>
        </w:rPr>
        <w:t>Center</w:t>
      </w:r>
      <w:proofErr w:type="spellEnd"/>
      <w:r w:rsidRPr="001F148C">
        <w:rPr>
          <w:rFonts w:ascii="Times New Roman" w:hAnsi="Times New Roman"/>
          <w:bCs/>
          <w:iCs/>
          <w:spacing w:val="-6"/>
          <w:sz w:val="24"/>
          <w:szCs w:val="24"/>
          <w:lang w:val="en-GB"/>
        </w:rPr>
        <w:t xml:space="preserve"> for Demographic Research of the NIER for the annual presentation of the official forecast. The forecast was developed based on an updated methodological framework, using RPL 2024 data, official statistical series from the NBS, and empirically based demographic assumptions. The results of the forecast highlight persistent trends of population decline, acceleration of the demographic aging process, and significant changes in the age structure, with direct implications for the </w:t>
      </w:r>
      <w:proofErr w:type="spellStart"/>
      <w:r w:rsidRPr="001F148C">
        <w:rPr>
          <w:rFonts w:ascii="Times New Roman" w:hAnsi="Times New Roman"/>
          <w:bCs/>
          <w:iCs/>
          <w:spacing w:val="-6"/>
          <w:sz w:val="24"/>
          <w:szCs w:val="24"/>
          <w:lang w:val="en-GB"/>
        </w:rPr>
        <w:t>labor</w:t>
      </w:r>
      <w:proofErr w:type="spellEnd"/>
      <w:r w:rsidRPr="001F148C">
        <w:rPr>
          <w:rFonts w:ascii="Times New Roman" w:hAnsi="Times New Roman"/>
          <w:bCs/>
          <w:iCs/>
          <w:spacing w:val="-6"/>
          <w:sz w:val="24"/>
          <w:szCs w:val="24"/>
          <w:lang w:val="en-GB"/>
        </w:rPr>
        <w:t xml:space="preserve"> market, the pension system, social services, and territorial planning. The 2025–2040 forecast was presented during discussions with central public authorities and served as a basic tool for medium- and long-term social and economic planning.</w:t>
      </w:r>
    </w:p>
    <w:p w14:paraId="119B6C53" w14:textId="77777777" w:rsidR="004D12E1" w:rsidRPr="001F148C" w:rsidRDefault="004D12E1" w:rsidP="004D12E1">
      <w:pPr>
        <w:spacing w:after="0" w:line="240" w:lineRule="auto"/>
        <w:ind w:firstLine="706"/>
        <w:jc w:val="both"/>
        <w:rPr>
          <w:rFonts w:ascii="Times New Roman" w:hAnsi="Times New Roman"/>
          <w:bCs/>
          <w:iCs/>
          <w:spacing w:val="-6"/>
          <w:sz w:val="24"/>
          <w:szCs w:val="24"/>
          <w:lang w:val="en-GB"/>
        </w:rPr>
      </w:pPr>
      <w:r w:rsidRPr="001F148C">
        <w:rPr>
          <w:rFonts w:ascii="Times New Roman" w:hAnsi="Times New Roman"/>
          <w:bCs/>
          <w:iCs/>
          <w:spacing w:val="-6"/>
          <w:sz w:val="24"/>
          <w:szCs w:val="24"/>
          <w:lang w:val="en-GB"/>
        </w:rPr>
        <w:t xml:space="preserve">Another important result is the calculation and analysis of the </w:t>
      </w:r>
      <w:r w:rsidRPr="001F148C">
        <w:rPr>
          <w:rFonts w:ascii="Times New Roman" w:hAnsi="Times New Roman"/>
          <w:bCs/>
          <w:i/>
          <w:spacing w:val="-6"/>
          <w:sz w:val="24"/>
          <w:szCs w:val="24"/>
          <w:lang w:val="en-GB"/>
        </w:rPr>
        <w:t>Active Aging Index (AAI), 2024 edition</w:t>
      </w:r>
      <w:r w:rsidRPr="001F148C">
        <w:rPr>
          <w:rFonts w:ascii="Times New Roman" w:hAnsi="Times New Roman"/>
          <w:bCs/>
          <w:iCs/>
          <w:spacing w:val="-6"/>
          <w:sz w:val="24"/>
          <w:szCs w:val="24"/>
          <w:lang w:val="en-GB"/>
        </w:rPr>
        <w:t>, an analytical tool used to assess the degree of utilization of the potential of people aged 55 and over. The application of the AAI methodology allowed for a comparative analysis of developments in Moldova in the main areas of active ageing, highlighting both the progress made and the persistent gaps between genders and areas of residence. The results of the 2024 IÎA provided a solid empirical basis for monitoring the impact of public policies and for formulating recommendations aimed at expanding the economic and social participation of older people.</w:t>
      </w:r>
    </w:p>
    <w:p w14:paraId="129760D4" w14:textId="77777777" w:rsidR="004D12E1" w:rsidRPr="001F148C" w:rsidRDefault="004D12E1" w:rsidP="004D12E1">
      <w:pPr>
        <w:spacing w:after="0" w:line="240" w:lineRule="auto"/>
        <w:ind w:firstLine="706"/>
        <w:jc w:val="both"/>
        <w:rPr>
          <w:rFonts w:ascii="Times New Roman" w:hAnsi="Times New Roman"/>
          <w:bCs/>
          <w:iCs/>
          <w:spacing w:val="-6"/>
          <w:sz w:val="24"/>
          <w:szCs w:val="24"/>
          <w:lang w:val="en-GB"/>
        </w:rPr>
      </w:pPr>
      <w:r w:rsidRPr="001F148C">
        <w:rPr>
          <w:rFonts w:ascii="Times New Roman" w:hAnsi="Times New Roman"/>
          <w:bCs/>
          <w:iCs/>
          <w:spacing w:val="-6"/>
          <w:sz w:val="24"/>
          <w:szCs w:val="24"/>
          <w:lang w:val="en-GB"/>
        </w:rPr>
        <w:t xml:space="preserve">In addition to the systemic impact results, in-depth thematic studies were conducted on premature mortality and life expectancy, fertility and family </w:t>
      </w:r>
      <w:proofErr w:type="spellStart"/>
      <w:r w:rsidRPr="001F148C">
        <w:rPr>
          <w:rFonts w:ascii="Times New Roman" w:hAnsi="Times New Roman"/>
          <w:bCs/>
          <w:iCs/>
          <w:spacing w:val="-6"/>
          <w:sz w:val="24"/>
          <w:szCs w:val="24"/>
          <w:lang w:val="en-GB"/>
        </w:rPr>
        <w:t>behaviors</w:t>
      </w:r>
      <w:proofErr w:type="spellEnd"/>
      <w:r w:rsidRPr="001F148C">
        <w:rPr>
          <w:rFonts w:ascii="Times New Roman" w:hAnsi="Times New Roman"/>
          <w:bCs/>
          <w:iCs/>
          <w:spacing w:val="-6"/>
          <w:sz w:val="24"/>
          <w:szCs w:val="24"/>
          <w:lang w:val="en-GB"/>
        </w:rPr>
        <w:t>, as well as internal and international migration, with a focus on their implications for population structure and territorial cohesion. The use of data from the 2024 RPL and the Generations and Gender study (Wave II, 2024) made it possible to update structural analyses of the population by age and highlight regional demographic imbalances, urban-rural differences, and the acceleration of demographic aging in certain administrative-territorial units. The results were used in analytical interventions for local public administration, with a view to informing data-based decisions and socioeconomic planning.</w:t>
      </w:r>
    </w:p>
    <w:p w14:paraId="546A7317" w14:textId="77777777" w:rsidR="004D12E1" w:rsidRDefault="004D12E1" w:rsidP="004D12E1">
      <w:pPr>
        <w:spacing w:after="0" w:line="240" w:lineRule="auto"/>
        <w:ind w:firstLine="706"/>
        <w:jc w:val="both"/>
        <w:rPr>
          <w:rFonts w:ascii="Times New Roman" w:hAnsi="Times New Roman"/>
          <w:spacing w:val="-6"/>
          <w:sz w:val="24"/>
          <w:szCs w:val="24"/>
          <w:lang w:val="en-GB"/>
        </w:rPr>
      </w:pPr>
      <w:r w:rsidRPr="001F148C">
        <w:rPr>
          <w:rFonts w:ascii="Times New Roman" w:hAnsi="Times New Roman"/>
          <w:spacing w:val="-6"/>
          <w:sz w:val="24"/>
          <w:szCs w:val="24"/>
          <w:lang w:val="en-GB"/>
        </w:rPr>
        <w:t xml:space="preserve">At the same time, emphasis was placed on developing the scientific capacities of the research team through participation in continuing education courses, methodological workshops, and training programs in the field of longitudinal data analysis, the use of statistical software, artificial intelligence applied to research, etc. </w:t>
      </w:r>
    </w:p>
    <w:p w14:paraId="12CE1D8A" w14:textId="77777777" w:rsidR="004D12E1" w:rsidRDefault="004D12E1" w:rsidP="004D12E1">
      <w:pPr>
        <w:spacing w:after="0" w:line="240" w:lineRule="auto"/>
        <w:ind w:firstLine="706"/>
        <w:jc w:val="both"/>
        <w:rPr>
          <w:rFonts w:ascii="Times New Roman" w:hAnsi="Times New Roman"/>
          <w:sz w:val="24"/>
          <w:szCs w:val="24"/>
          <w:highlight w:val="yellow"/>
          <w:lang w:val="ro-RO"/>
        </w:rPr>
      </w:pPr>
      <w:r w:rsidRPr="001F148C">
        <w:rPr>
          <w:rFonts w:ascii="Times New Roman" w:hAnsi="Times New Roman"/>
          <w:spacing w:val="-6"/>
          <w:sz w:val="24"/>
          <w:szCs w:val="24"/>
          <w:lang w:val="en-GB"/>
        </w:rPr>
        <w:t xml:space="preserve">The scientific results obtained in 2025 were disseminated in 36 publications (including 3 indexed in </w:t>
      </w:r>
      <w:proofErr w:type="spellStart"/>
      <w:r w:rsidRPr="001F148C">
        <w:rPr>
          <w:rFonts w:ascii="Times New Roman" w:hAnsi="Times New Roman"/>
          <w:spacing w:val="-6"/>
          <w:sz w:val="24"/>
          <w:szCs w:val="24"/>
          <w:lang w:val="en-GB"/>
        </w:rPr>
        <w:t>WoS</w:t>
      </w:r>
      <w:proofErr w:type="spellEnd"/>
      <w:r w:rsidRPr="001F148C">
        <w:rPr>
          <w:rFonts w:ascii="Times New Roman" w:hAnsi="Times New Roman"/>
          <w:spacing w:val="-6"/>
          <w:sz w:val="24"/>
          <w:szCs w:val="24"/>
          <w:lang w:val="en-GB"/>
        </w:rPr>
        <w:t xml:space="preserve"> and SCOPUS, 1 </w:t>
      </w:r>
      <w:r>
        <w:rPr>
          <w:rFonts w:ascii="Times New Roman" w:hAnsi="Times New Roman"/>
          <w:spacing w:val="-6"/>
          <w:sz w:val="24"/>
          <w:szCs w:val="24"/>
          <w:lang w:val="en-GB"/>
        </w:rPr>
        <w:t>scholarly</w:t>
      </w:r>
      <w:r w:rsidRPr="001F148C">
        <w:rPr>
          <w:rFonts w:ascii="Times New Roman" w:hAnsi="Times New Roman"/>
          <w:spacing w:val="-6"/>
          <w:sz w:val="24"/>
          <w:szCs w:val="24"/>
          <w:lang w:val="en-GB"/>
        </w:rPr>
        <w:t xml:space="preserve"> book; 4 analytical reports and policy-oriented materials, 3 chapters in an international monograph, 1 course support material, and other scientific works). The results were promoted in 53 reports presented at scientific forums, including 40 at international conferences; at 3 national round tables organized within the subprogram and </w:t>
      </w:r>
      <w:r>
        <w:rPr>
          <w:rFonts w:ascii="Times New Roman" w:hAnsi="Times New Roman"/>
          <w:spacing w:val="-6"/>
          <w:sz w:val="24"/>
          <w:szCs w:val="24"/>
          <w:lang w:val="en-GB"/>
        </w:rPr>
        <w:t xml:space="preserve">1 </w:t>
      </w:r>
      <w:r w:rsidRPr="001F148C">
        <w:rPr>
          <w:rFonts w:ascii="Times New Roman" w:hAnsi="Times New Roman"/>
          <w:spacing w:val="-6"/>
          <w:sz w:val="24"/>
          <w:szCs w:val="24"/>
          <w:lang w:val="en-GB"/>
        </w:rPr>
        <w:t>international session "Building demographic resilience: strategies for sustainable population development" (International Scientific-Practical Conference "Economic Growth in the Face of Global Challenges", 19th edition); 1</w:t>
      </w:r>
      <w:r>
        <w:rPr>
          <w:rFonts w:ascii="Times New Roman" w:hAnsi="Times New Roman"/>
          <w:spacing w:val="-6"/>
          <w:sz w:val="24"/>
          <w:szCs w:val="24"/>
          <w:lang w:val="en-GB"/>
        </w:rPr>
        <w:t>1</w:t>
      </w:r>
      <w:r w:rsidRPr="001F148C">
        <w:rPr>
          <w:rFonts w:ascii="Times New Roman" w:hAnsi="Times New Roman"/>
          <w:spacing w:val="-6"/>
          <w:sz w:val="24"/>
          <w:szCs w:val="24"/>
          <w:lang w:val="en-GB"/>
        </w:rPr>
        <w:t xml:space="preserve"> posters presented at 3 international exhibitions (</w:t>
      </w:r>
      <w:proofErr w:type="spellStart"/>
      <w:r w:rsidRPr="001F148C">
        <w:rPr>
          <w:rFonts w:ascii="Times New Roman" w:hAnsi="Times New Roman"/>
          <w:spacing w:val="-6"/>
          <w:sz w:val="24"/>
          <w:szCs w:val="24"/>
          <w:lang w:val="en-GB"/>
        </w:rPr>
        <w:t>EuroInvent</w:t>
      </w:r>
      <w:proofErr w:type="spellEnd"/>
      <w:r w:rsidRPr="001F148C">
        <w:rPr>
          <w:rFonts w:ascii="Times New Roman" w:hAnsi="Times New Roman"/>
          <w:spacing w:val="-6"/>
          <w:sz w:val="24"/>
          <w:szCs w:val="24"/>
          <w:lang w:val="en-GB"/>
        </w:rPr>
        <w:t xml:space="preserve"> 2025, </w:t>
      </w:r>
      <w:proofErr w:type="spellStart"/>
      <w:r w:rsidRPr="001F148C">
        <w:rPr>
          <w:rFonts w:ascii="Times New Roman" w:hAnsi="Times New Roman"/>
          <w:spacing w:val="-6"/>
          <w:sz w:val="24"/>
          <w:szCs w:val="24"/>
          <w:lang w:val="en-GB"/>
        </w:rPr>
        <w:t>Iași</w:t>
      </w:r>
      <w:proofErr w:type="spellEnd"/>
      <w:r w:rsidRPr="001F148C">
        <w:rPr>
          <w:rFonts w:ascii="Times New Roman" w:hAnsi="Times New Roman"/>
          <w:spacing w:val="-6"/>
          <w:sz w:val="24"/>
          <w:szCs w:val="24"/>
          <w:lang w:val="en-GB"/>
        </w:rPr>
        <w:t xml:space="preserve">, Romania; </w:t>
      </w:r>
      <w:proofErr w:type="spellStart"/>
      <w:r w:rsidRPr="001F148C">
        <w:rPr>
          <w:rFonts w:ascii="Times New Roman" w:hAnsi="Times New Roman"/>
          <w:spacing w:val="-6"/>
          <w:sz w:val="24"/>
          <w:szCs w:val="24"/>
          <w:lang w:val="en-GB"/>
        </w:rPr>
        <w:t>ExcelentIDEA</w:t>
      </w:r>
      <w:proofErr w:type="spellEnd"/>
      <w:r w:rsidRPr="001F148C">
        <w:rPr>
          <w:rFonts w:ascii="Times New Roman" w:hAnsi="Times New Roman"/>
          <w:spacing w:val="-6"/>
          <w:sz w:val="24"/>
          <w:szCs w:val="24"/>
          <w:lang w:val="en-GB"/>
        </w:rPr>
        <w:t xml:space="preserve"> 2025; </w:t>
      </w:r>
      <w:proofErr w:type="spellStart"/>
      <w:r w:rsidRPr="001F148C">
        <w:rPr>
          <w:rFonts w:ascii="Times New Roman" w:hAnsi="Times New Roman"/>
          <w:spacing w:val="-6"/>
          <w:sz w:val="24"/>
          <w:szCs w:val="24"/>
          <w:lang w:val="en-GB"/>
        </w:rPr>
        <w:t>Infoinvent</w:t>
      </w:r>
      <w:proofErr w:type="spellEnd"/>
      <w:r w:rsidRPr="001F148C">
        <w:rPr>
          <w:rFonts w:ascii="Times New Roman" w:hAnsi="Times New Roman"/>
          <w:spacing w:val="-6"/>
          <w:sz w:val="24"/>
          <w:szCs w:val="24"/>
          <w:lang w:val="en-GB"/>
        </w:rPr>
        <w:t xml:space="preserve"> 2025); 25 radio and TV interviews to popularize science. </w:t>
      </w:r>
    </w:p>
    <w:p w14:paraId="084FE4FE" w14:textId="77777777" w:rsidR="004D12E1" w:rsidRDefault="004D12E1" w:rsidP="004D12E1">
      <w:pPr>
        <w:spacing w:after="0" w:line="276" w:lineRule="auto"/>
        <w:rPr>
          <w:rFonts w:ascii="Times New Roman" w:hAnsi="Times New Roman"/>
          <w:sz w:val="24"/>
          <w:szCs w:val="24"/>
          <w:highlight w:val="yellow"/>
          <w:lang w:val="ro-RO"/>
        </w:rPr>
      </w:pPr>
    </w:p>
    <w:p w14:paraId="7C109E0A" w14:textId="77777777" w:rsidR="004D12E1" w:rsidRPr="008A25C1" w:rsidRDefault="004D12E1" w:rsidP="004D12E1">
      <w:pPr>
        <w:spacing w:after="0" w:line="276" w:lineRule="auto"/>
        <w:rPr>
          <w:rFonts w:ascii="Times New Roman" w:hAnsi="Times New Roman"/>
          <w:b/>
          <w:bCs/>
          <w:spacing w:val="-4"/>
          <w:sz w:val="24"/>
          <w:szCs w:val="24"/>
          <w:lang w:val="ro-RO"/>
        </w:rPr>
      </w:pPr>
      <w:r w:rsidRPr="008A25C1">
        <w:rPr>
          <w:rFonts w:ascii="Times New Roman" w:hAnsi="Times New Roman"/>
          <w:b/>
          <w:bCs/>
          <w:spacing w:val="-4"/>
          <w:sz w:val="24"/>
          <w:szCs w:val="24"/>
          <w:lang w:val="ro-RO"/>
        </w:rPr>
        <w:t xml:space="preserve">Coordonatorul subprogramului de cercetare: GAGAUZ Olga, </w:t>
      </w:r>
      <w:proofErr w:type="spellStart"/>
      <w:r w:rsidRPr="008A25C1">
        <w:rPr>
          <w:rFonts w:ascii="Times New Roman" w:hAnsi="Times New Roman"/>
          <w:b/>
          <w:bCs/>
          <w:spacing w:val="-4"/>
          <w:sz w:val="24"/>
          <w:szCs w:val="24"/>
          <w:lang w:val="ro-RO"/>
        </w:rPr>
        <w:t>dr.hab</w:t>
      </w:r>
      <w:proofErr w:type="spellEnd"/>
      <w:r w:rsidRPr="008A25C1">
        <w:rPr>
          <w:rFonts w:ascii="Times New Roman" w:hAnsi="Times New Roman"/>
          <w:b/>
          <w:bCs/>
          <w:spacing w:val="-4"/>
          <w:sz w:val="24"/>
          <w:szCs w:val="24"/>
          <w:lang w:val="ro-RO"/>
        </w:rPr>
        <w:t xml:space="preserve">., </w:t>
      </w:r>
      <w:proofErr w:type="spellStart"/>
      <w:r w:rsidRPr="008A25C1">
        <w:rPr>
          <w:rFonts w:ascii="Times New Roman" w:hAnsi="Times New Roman"/>
          <w:b/>
          <w:bCs/>
          <w:spacing w:val="-4"/>
          <w:sz w:val="24"/>
          <w:szCs w:val="24"/>
          <w:lang w:val="ro-RO"/>
        </w:rPr>
        <w:t>conf.cerc</w:t>
      </w:r>
      <w:proofErr w:type="spellEnd"/>
      <w:r w:rsidRPr="008A25C1">
        <w:rPr>
          <w:rFonts w:ascii="Times New Roman" w:hAnsi="Times New Roman"/>
          <w:b/>
          <w:bCs/>
          <w:spacing w:val="-4"/>
          <w:sz w:val="24"/>
          <w:szCs w:val="24"/>
          <w:lang w:val="ro-RO"/>
        </w:rPr>
        <w:t>.</w:t>
      </w:r>
      <w:r w:rsidRPr="008A25C1">
        <w:rPr>
          <w:rFonts w:ascii="Times New Roman" w:hAnsi="Times New Roman"/>
          <w:spacing w:val="-4"/>
          <w:sz w:val="24"/>
          <w:szCs w:val="24"/>
          <w:lang w:val="ro-RO"/>
        </w:rPr>
        <w:t xml:space="preserve"> ________</w:t>
      </w:r>
      <w:r>
        <w:rPr>
          <w:rFonts w:ascii="Times New Roman" w:hAnsi="Times New Roman"/>
          <w:spacing w:val="-4"/>
          <w:sz w:val="24"/>
          <w:szCs w:val="24"/>
          <w:lang w:val="ro-RO"/>
        </w:rPr>
        <w:t>___</w:t>
      </w:r>
    </w:p>
    <w:p w14:paraId="74D362D5" w14:textId="4C9A729C" w:rsidR="00CD6CBB" w:rsidRDefault="004D12E1" w:rsidP="004D12E1">
      <w:pPr>
        <w:spacing w:after="0" w:line="276" w:lineRule="auto"/>
      </w:pPr>
      <w:r w:rsidRPr="00CE32A9">
        <w:rPr>
          <w:rFonts w:ascii="Times New Roman" w:eastAsia="Times New Roman" w:hAnsi="Times New Roman"/>
          <w:sz w:val="24"/>
          <w:szCs w:val="24"/>
          <w:lang w:val="ro-RO" w:eastAsia="ru-RU"/>
        </w:rPr>
        <w:t xml:space="preserve">Data: </w:t>
      </w:r>
      <w:r>
        <w:rPr>
          <w:rFonts w:ascii="Times New Roman" w:eastAsia="Times New Roman" w:hAnsi="Times New Roman"/>
          <w:sz w:val="24"/>
          <w:szCs w:val="24"/>
          <w:u w:val="single"/>
          <w:lang w:val="ro-RO" w:eastAsia="ru-RU"/>
        </w:rPr>
        <w:t>30.01.2026</w:t>
      </w:r>
      <w:r w:rsidRPr="00513990">
        <w:rPr>
          <w:rFonts w:ascii="Times New Roman" w:eastAsia="Times New Roman" w:hAnsi="Times New Roman"/>
          <w:sz w:val="24"/>
          <w:szCs w:val="24"/>
          <w:lang w:val="ro-RO" w:eastAsia="ru-RU"/>
        </w:rPr>
        <w:t xml:space="preserve"> </w:t>
      </w:r>
    </w:p>
    <w:sectPr w:rsidR="00CD6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E1"/>
    <w:rsid w:val="004D12E1"/>
    <w:rsid w:val="0052635C"/>
    <w:rsid w:val="005E145F"/>
    <w:rsid w:val="00CD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2828"/>
  <w15:chartTrackingRefBased/>
  <w15:docId w15:val="{99F6B308-F53C-422A-84E5-BEC4C338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2E1"/>
    <w:rPr>
      <w:rFonts w:ascii="Calibri" w:eastAsia="Calibri" w:hAnsi="Calibri" w:cs="Times New Roman"/>
      <w:lang w:val="en-US"/>
    </w:rPr>
  </w:style>
  <w:style w:type="paragraph" w:styleId="1">
    <w:name w:val="heading 1"/>
    <w:basedOn w:val="a"/>
    <w:next w:val="a"/>
    <w:link w:val="10"/>
    <w:uiPriority w:val="9"/>
    <w:qFormat/>
    <w:rsid w:val="004D12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D12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2E1"/>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semiHidden/>
    <w:rsid w:val="004D12E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Timus</dc:creator>
  <cp:keywords/>
  <dc:description/>
  <cp:lastModifiedBy>Angela Timus</cp:lastModifiedBy>
  <cp:revision>1</cp:revision>
  <dcterms:created xsi:type="dcterms:W3CDTF">2026-01-29T09:51:00Z</dcterms:created>
  <dcterms:modified xsi:type="dcterms:W3CDTF">2026-01-29T09:52:00Z</dcterms:modified>
</cp:coreProperties>
</file>