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5FD3" w14:textId="77777777" w:rsidR="00A1708F" w:rsidRPr="002224E1" w:rsidRDefault="00A1708F" w:rsidP="00A1708F">
      <w:pPr>
        <w:keepNext/>
        <w:spacing w:after="0" w:line="276" w:lineRule="auto"/>
        <w:jc w:val="right"/>
        <w:rPr>
          <w:rFonts w:ascii="Times New Roman" w:eastAsia="Times New Roman" w:hAnsi="Times New Roman" w:cs="Times New Roman"/>
          <w:sz w:val="24"/>
          <w:szCs w:val="24"/>
          <w:lang w:val="ro-RO"/>
        </w:rPr>
      </w:pPr>
      <w:r w:rsidRPr="002224E1">
        <w:rPr>
          <w:rFonts w:ascii="Times New Roman" w:eastAsia="Times New Roman" w:hAnsi="Times New Roman" w:cs="Times New Roman"/>
          <w:sz w:val="24"/>
          <w:szCs w:val="24"/>
          <w:lang w:val="ro-RO"/>
        </w:rPr>
        <w:t>Anexa nr. 1</w:t>
      </w:r>
    </w:p>
    <w:p w14:paraId="289E0B3A" w14:textId="77777777" w:rsidR="00A1708F" w:rsidRPr="002224E1" w:rsidRDefault="00A1708F" w:rsidP="00CA2703">
      <w:pPr>
        <w:spacing w:after="0" w:line="240" w:lineRule="auto"/>
        <w:jc w:val="center"/>
        <w:rPr>
          <w:rFonts w:ascii="Times New Roman" w:eastAsia="Times New Roman" w:hAnsi="Times New Roman" w:cs="Times New Roman"/>
          <w:b/>
          <w:bCs/>
          <w:sz w:val="24"/>
          <w:szCs w:val="24"/>
          <w:lang w:val="ro-RO"/>
        </w:rPr>
      </w:pPr>
      <w:bookmarkStart w:id="0" w:name="_heading=h.seaa8eeqxrgs" w:colFirst="0" w:colLast="0"/>
      <w:bookmarkEnd w:id="0"/>
      <w:r w:rsidRPr="002224E1">
        <w:rPr>
          <w:rFonts w:ascii="Times New Roman" w:eastAsia="Times New Roman" w:hAnsi="Times New Roman" w:cs="Times New Roman"/>
          <w:b/>
          <w:bCs/>
          <w:sz w:val="24"/>
          <w:szCs w:val="24"/>
          <w:lang w:val="ro-RO"/>
        </w:rPr>
        <w:t>Rezumatul activității și a rezultatelor obținute în subprogram în anul 2025</w:t>
      </w:r>
    </w:p>
    <w:p w14:paraId="5221875C" w14:textId="77777777" w:rsidR="00A1708F" w:rsidRPr="002224E1" w:rsidRDefault="00A1708F" w:rsidP="00CA2703">
      <w:pPr>
        <w:spacing w:after="0" w:line="240" w:lineRule="auto"/>
        <w:jc w:val="center"/>
        <w:rPr>
          <w:rFonts w:ascii="Times New Roman" w:eastAsia="Times New Roman" w:hAnsi="Times New Roman" w:cs="Times New Roman"/>
          <w:b/>
          <w:bCs/>
          <w:sz w:val="24"/>
          <w:szCs w:val="24"/>
          <w:highlight w:val="white"/>
          <w:lang w:val="ro-RO"/>
        </w:rPr>
      </w:pPr>
      <w:r w:rsidRPr="002224E1">
        <w:rPr>
          <w:rFonts w:ascii="Times New Roman" w:eastAsia="Times New Roman" w:hAnsi="Times New Roman" w:cs="Times New Roman"/>
          <w:b/>
          <w:bCs/>
          <w:sz w:val="24"/>
          <w:szCs w:val="24"/>
          <w:lang w:val="ro-RO"/>
        </w:rPr>
        <w:t>Fortificarea rezilienței, competitivității și durabilității economiei Republicii Moldova în contextul procesului de aderare la Uniunea Europeană</w:t>
      </w:r>
    </w:p>
    <w:p w14:paraId="6B52C5B6" w14:textId="77777777" w:rsidR="00A1708F" w:rsidRPr="00D96B7E" w:rsidRDefault="00A1708F" w:rsidP="00A1708F">
      <w:pPr>
        <w:keepNext/>
        <w:spacing w:after="120" w:line="276" w:lineRule="auto"/>
        <w:rPr>
          <w:rFonts w:ascii="Times New Roman" w:eastAsia="Times New Roman" w:hAnsi="Times New Roman" w:cs="Times New Roman"/>
          <w:b/>
          <w:bCs/>
          <w:sz w:val="24"/>
          <w:szCs w:val="24"/>
          <w:lang w:val="ro-RO"/>
        </w:rPr>
      </w:pPr>
      <w:r w:rsidRPr="00D96B7E">
        <w:rPr>
          <w:rFonts w:ascii="Times New Roman" w:eastAsia="Times New Roman" w:hAnsi="Times New Roman" w:cs="Times New Roman"/>
          <w:b/>
          <w:bCs/>
          <w:sz w:val="24"/>
          <w:szCs w:val="24"/>
          <w:highlight w:val="white"/>
          <w:lang w:val="ro-RO"/>
        </w:rPr>
        <w:t xml:space="preserve">Codul subprogramului  </w:t>
      </w:r>
      <w:r w:rsidRPr="00D96B7E">
        <w:rPr>
          <w:rFonts w:ascii="Times New Roman" w:eastAsia="Times New Roman" w:hAnsi="Times New Roman" w:cs="Times New Roman"/>
          <w:b/>
          <w:bCs/>
          <w:sz w:val="24"/>
          <w:szCs w:val="24"/>
          <w:lang w:val="ro-RO"/>
        </w:rPr>
        <w:t>030101</w:t>
      </w:r>
    </w:p>
    <w:tbl>
      <w:tblPr>
        <w:tblStyle w:val="6"/>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8"/>
      </w:tblGrid>
      <w:tr w:rsidR="00A1708F" w:rsidRPr="00D96B7E" w14:paraId="0C721C30" w14:textId="77777777" w:rsidTr="00D02ECF">
        <w:tc>
          <w:tcPr>
            <w:tcW w:w="9558" w:type="dxa"/>
            <w:shd w:val="clear" w:color="auto" w:fill="auto"/>
          </w:tcPr>
          <w:p w14:paraId="6177C988" w14:textId="77777777" w:rsidR="00A1708F" w:rsidRPr="00D96B7E" w:rsidRDefault="00A1708F" w:rsidP="00D02ECF">
            <w:pPr>
              <w:pBdr>
                <w:top w:val="nil"/>
                <w:left w:val="nil"/>
                <w:bottom w:val="nil"/>
                <w:right w:val="nil"/>
                <w:between w:val="nil"/>
              </w:pBdr>
              <w:spacing w:after="0" w:line="240" w:lineRule="auto"/>
              <w:jc w:val="both"/>
              <w:rPr>
                <w:rFonts w:ascii="Times New Roman" w:eastAsia="Times New Roman" w:hAnsi="Times New Roman" w:cs="Times New Roman"/>
                <w:lang w:val="ro-RO"/>
              </w:rPr>
            </w:pPr>
            <w:bookmarkStart w:id="1" w:name="_heading=h.31be8s1e2wj" w:colFirst="0" w:colLast="0"/>
            <w:bookmarkEnd w:id="1"/>
            <w:r w:rsidRPr="00D96B7E">
              <w:rPr>
                <w:rFonts w:ascii="Times New Roman" w:eastAsia="Times New Roman" w:hAnsi="Times New Roman" w:cs="Times New Roman"/>
                <w:lang w:val="ro-RO"/>
              </w:rPr>
              <w:t>Cercetarea realizată în cadrul subprogramului a consolidat un cadru metodologic integrat, care permite evaluarea rezilienței economice, analizarea competitivității sectoriale și fundamentarea tranziției către o economie durabilă. Activitățile științifice și aplicative desfășurate în 2025 au oferit instrumente utile și soluții practice în sprijinul economiei naționale, în contextul preaderării la UE.</w:t>
            </w:r>
          </w:p>
          <w:p w14:paraId="4B7B4E55" w14:textId="77777777" w:rsidR="00A1708F" w:rsidRPr="00D96B7E" w:rsidRDefault="00A1708F" w:rsidP="00D02ECF">
            <w:pPr>
              <w:spacing w:after="0" w:line="240" w:lineRule="auto"/>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Principalele rezultate obținute și implementate, ținând cont de obiectivele stabilite sunt:</w:t>
            </w:r>
          </w:p>
          <w:p w14:paraId="5478EA3F" w14:textId="77777777" w:rsidR="00A1708F" w:rsidRPr="00D96B7E" w:rsidRDefault="00A1708F" w:rsidP="00A1708F">
            <w:pPr>
              <w:pStyle w:val="a3"/>
              <w:numPr>
                <w:ilvl w:val="0"/>
                <w:numId w:val="2"/>
              </w:numPr>
              <w:spacing w:after="0" w:line="240" w:lineRule="auto"/>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 xml:space="preserve">A fost consolidat cadrul teoretic și metodologic privind reziliența economică, incluzând sisteme de indicatori compoziți, matrice de riscuri și modele econometrice, indicatori de evaluare inegalității și excluziunii sociale, precum și componente dedicate finanțării sustenabile, ESG și agriculturii durabile, aplicabile în cercetare și analiză sectorială. </w:t>
            </w:r>
          </w:p>
          <w:p w14:paraId="3DBF44C9" w14:textId="77777777" w:rsidR="00A1708F" w:rsidRPr="00D96B7E" w:rsidRDefault="00A1708F" w:rsidP="00A1708F">
            <w:pPr>
              <w:pStyle w:val="a3"/>
              <w:numPr>
                <w:ilvl w:val="0"/>
                <w:numId w:val="2"/>
              </w:numPr>
              <w:spacing w:after="0" w:line="240" w:lineRule="auto"/>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Studiile privind bunele practici europene și analizele empirice naționale au permis identificarea mecanismelor de adaptare la contextul Republicii Moldova, evidențiind nivelul de pregătire al populației și al mediului economic pentru tranziția verde și consolidarea economiei circulare.</w:t>
            </w:r>
          </w:p>
          <w:p w14:paraId="6DBE9AF3" w14:textId="77777777" w:rsidR="00A1708F" w:rsidRPr="00D96B7E" w:rsidRDefault="00A1708F" w:rsidP="00A1708F">
            <w:pPr>
              <w:pStyle w:val="a3"/>
              <w:numPr>
                <w:ilvl w:val="0"/>
                <w:numId w:val="2"/>
              </w:numPr>
              <w:spacing w:after="0" w:line="240" w:lineRule="auto"/>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 xml:space="preserve">Analizele empirice asupra grupurilor social vulnerabile și studiile comparative privind bunăstarea, inegalitatea veniturilor și incluziunea socială au contribuit la dezvoltarea și operaționalizarea indicatorilor relevanți pentru măsurarea sărăciei și inegalității. Aceștia permit caracterizarea distribuțiilor veniturilor, identificarea segmentelor expuse riscurilor de excluziune și evaluarea eficienței intervențiilor monetare. Rezultatele constituie fundament analitic pentru formularea și calibrarea instrumentelor de politică socială și monetară orientate spre compensarea șocurilor, reducerea polarizării și consolidarea coeziunii sociale; </w:t>
            </w:r>
          </w:p>
          <w:p w14:paraId="444B4481" w14:textId="77777777" w:rsidR="00A1708F" w:rsidRPr="00D96B7E" w:rsidRDefault="00A1708F" w:rsidP="00A1708F">
            <w:pPr>
              <w:pStyle w:val="a3"/>
              <w:numPr>
                <w:ilvl w:val="0"/>
                <w:numId w:val="2"/>
              </w:numPr>
              <w:spacing w:after="0" w:line="240" w:lineRule="auto"/>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Au fost dezvoltate instrumente de monitorizare și sisteme de indicatori comparabili cu tendințele UE, care sprijină fundamentarea politicilor sectoriale în agricultură, competitivitatea IMM-urilor și evaluarea riscurilor sociale, contribuind la alinierea cadrului analitic național la standardele europene.</w:t>
            </w:r>
          </w:p>
          <w:p w14:paraId="168FD5D1" w14:textId="77777777" w:rsidR="00A1708F" w:rsidRPr="00D96B7E" w:rsidRDefault="00A1708F" w:rsidP="00A1708F">
            <w:pPr>
              <w:pStyle w:val="a3"/>
              <w:numPr>
                <w:ilvl w:val="0"/>
                <w:numId w:val="2"/>
              </w:numPr>
              <w:spacing w:after="0" w:line="240" w:lineRule="auto"/>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Au fost perfecționate metodologii de evaluare a competitivității întreprinderilor și a lanțurilor valorice din agricultură, fiind elaborate baze de date, tarife de costuri și normative de venit, care oferă suport analitic pentru politicile agricole și securitatea alimentară.</w:t>
            </w:r>
          </w:p>
          <w:p w14:paraId="270A7B4F" w14:textId="77777777" w:rsidR="00A1708F" w:rsidRPr="00D96B7E" w:rsidRDefault="00A1708F" w:rsidP="00D02ECF">
            <w:pPr>
              <w:spacing w:after="0" w:line="240" w:lineRule="auto"/>
              <w:ind w:left="27" w:firstLine="425"/>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Rezultatele sunt diseminate prin 16</w:t>
            </w:r>
            <w:r>
              <w:rPr>
                <w:rFonts w:ascii="Times New Roman" w:eastAsia="Times New Roman" w:hAnsi="Times New Roman" w:cs="Times New Roman"/>
                <w:lang w:val="ro-RO"/>
              </w:rPr>
              <w:t>3</w:t>
            </w:r>
            <w:r w:rsidRPr="00D96B7E">
              <w:rPr>
                <w:rFonts w:ascii="Times New Roman" w:eastAsia="Times New Roman" w:hAnsi="Times New Roman" w:cs="Times New Roman"/>
                <w:lang w:val="ro-RO"/>
              </w:rPr>
              <w:t xml:space="preserve"> de lucrări științifice publicate, din care 2 lucrări analitice, 25 postere prezentate la expoziții internaționale și 1 opere științifică. Vizibilitatea este susținută de 19 lucrări publicate în reviste și volume indexate </w:t>
            </w:r>
            <w:proofErr w:type="spellStart"/>
            <w:r w:rsidRPr="00D96B7E">
              <w:rPr>
                <w:rFonts w:ascii="Times New Roman" w:eastAsia="Times New Roman" w:hAnsi="Times New Roman" w:cs="Times New Roman"/>
                <w:lang w:val="ro-RO"/>
              </w:rPr>
              <w:t>WoS</w:t>
            </w:r>
            <w:proofErr w:type="spellEnd"/>
            <w:r w:rsidRPr="00D96B7E">
              <w:rPr>
                <w:rFonts w:ascii="Times New Roman" w:eastAsia="Times New Roman" w:hAnsi="Times New Roman" w:cs="Times New Roman"/>
                <w:lang w:val="ro-RO"/>
              </w:rPr>
              <w:t>/</w:t>
            </w:r>
            <w:proofErr w:type="spellStart"/>
            <w:r w:rsidRPr="00D96B7E">
              <w:rPr>
                <w:rFonts w:ascii="Times New Roman" w:eastAsia="Times New Roman" w:hAnsi="Times New Roman" w:cs="Times New Roman"/>
                <w:lang w:val="ro-RO"/>
              </w:rPr>
              <w:t>Scopus</w:t>
            </w:r>
            <w:proofErr w:type="spellEnd"/>
            <w:r w:rsidRPr="00D96B7E">
              <w:rPr>
                <w:rFonts w:ascii="Times New Roman" w:eastAsia="Times New Roman" w:hAnsi="Times New Roman" w:cs="Times New Roman"/>
                <w:lang w:val="ro-RO"/>
              </w:rPr>
              <w:t>/Springer, 4</w:t>
            </w:r>
            <w:r>
              <w:rPr>
                <w:rFonts w:ascii="Times New Roman" w:eastAsia="Times New Roman" w:hAnsi="Times New Roman" w:cs="Times New Roman"/>
                <w:lang w:val="ro-RO"/>
              </w:rPr>
              <w:t>8</w:t>
            </w:r>
            <w:r w:rsidRPr="00D96B7E">
              <w:rPr>
                <w:rFonts w:ascii="Times New Roman" w:eastAsia="Times New Roman" w:hAnsi="Times New Roman" w:cs="Times New Roman"/>
                <w:lang w:val="ro-RO"/>
              </w:rPr>
              <w:t xml:space="preserve"> de articole în reviste de specialitate internaționale și reviste naționale acreditate, precum și 52 de articole în culegeri ale conferințelor științifice organizate în țară și peste hotare. R</w:t>
            </w:r>
            <w:r w:rsidRPr="00D96B7E">
              <w:rPr>
                <w:rFonts w:ascii="Times New Roman" w:eastAsia="Times New Roman" w:hAnsi="Times New Roman" w:cs="Times New Roman"/>
                <w:highlight w:val="white"/>
                <w:lang w:val="ro-RO"/>
              </w:rPr>
              <w:t xml:space="preserve">ecunoașterea este confirmată prin cele 28 de medalii obținute în </w:t>
            </w:r>
            <w:r w:rsidRPr="00D96B7E">
              <w:rPr>
                <w:rFonts w:ascii="Times New Roman" w:eastAsia="Times New Roman" w:hAnsi="Times New Roman" w:cs="Times New Roman"/>
                <w:lang w:val="ro-RO"/>
              </w:rPr>
              <w:t>cadrul unor saloane și expoziții internaționale de inovare (EUROINVENT 2025, INFOINVENT 2025 și altele).</w:t>
            </w:r>
            <w:r w:rsidRPr="00D96B7E">
              <w:rPr>
                <w:rFonts w:ascii="Times New Roman" w:eastAsia="Times New Roman" w:hAnsi="Times New Roman" w:cs="Times New Roman"/>
                <w:b/>
                <w:bCs/>
                <w:lang w:val="ro-RO"/>
              </w:rPr>
              <w:t xml:space="preserve"> </w:t>
            </w:r>
            <w:r w:rsidRPr="00D96B7E">
              <w:rPr>
                <w:rFonts w:ascii="Times New Roman" w:eastAsia="Times New Roman" w:hAnsi="Times New Roman" w:cs="Times New Roman"/>
                <w:highlight w:val="white"/>
                <w:lang w:val="ro-RO"/>
              </w:rPr>
              <w:t xml:space="preserve">La fel, au fost organizate 6 conferințe științifice internaționale și 10 mese rotunde, seminare, lansări publice, </w:t>
            </w:r>
            <w:proofErr w:type="spellStart"/>
            <w:r w:rsidRPr="00D96B7E">
              <w:rPr>
                <w:rFonts w:ascii="Times New Roman" w:eastAsia="Times New Roman" w:hAnsi="Times New Roman" w:cs="Times New Roman"/>
                <w:highlight w:val="white"/>
                <w:lang w:val="ro-RO"/>
              </w:rPr>
              <w:t>work</w:t>
            </w:r>
            <w:proofErr w:type="spellEnd"/>
            <w:r w:rsidRPr="00D96B7E">
              <w:rPr>
                <w:rFonts w:ascii="Times New Roman" w:eastAsia="Times New Roman" w:hAnsi="Times New Roman" w:cs="Times New Roman"/>
                <w:highlight w:val="white"/>
                <w:lang w:val="ro-RO"/>
              </w:rPr>
              <w:t>-shopuri</w:t>
            </w:r>
            <w:r w:rsidRPr="00D96B7E">
              <w:rPr>
                <w:rFonts w:ascii="Times New Roman" w:eastAsia="Times New Roman" w:hAnsi="Times New Roman" w:cs="Times New Roman"/>
                <w:lang w:val="ro-RO"/>
              </w:rPr>
              <w:t xml:space="preserve"> unde s-au prezentat 25 de rapoarte destinate mediului academic, autorităților publice și altor actori. </w:t>
            </w:r>
          </w:p>
          <w:p w14:paraId="58294B02" w14:textId="77777777" w:rsidR="00A1708F" w:rsidRPr="00D96B7E" w:rsidRDefault="00A1708F" w:rsidP="00D02ECF">
            <w:pPr>
              <w:spacing w:after="0" w:line="240" w:lineRule="auto"/>
              <w:ind w:left="27" w:firstLine="567"/>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 xml:space="preserve">Cooperarea internațională a fost consolidată prin participarea la proiecte și rețele internaționale, inclusiv la competiții </w:t>
            </w:r>
            <w:proofErr w:type="spellStart"/>
            <w:r w:rsidRPr="00D96B7E">
              <w:rPr>
                <w:rFonts w:ascii="Times New Roman" w:eastAsia="Times New Roman" w:hAnsi="Times New Roman" w:cs="Times New Roman"/>
                <w:lang w:val="ro-RO"/>
              </w:rPr>
              <w:t>Horizon</w:t>
            </w:r>
            <w:proofErr w:type="spellEnd"/>
            <w:r w:rsidRPr="00D96B7E">
              <w:rPr>
                <w:rFonts w:ascii="Times New Roman" w:eastAsia="Times New Roman" w:hAnsi="Times New Roman" w:cs="Times New Roman"/>
                <w:lang w:val="ro-RO"/>
              </w:rPr>
              <w:t xml:space="preserve"> Europe (HE), fiind depuse 5 propuneri de proiecte HE și 8 propuneri la alte concursuri internaționale, precum și prin implementarea a 5 proiecte naționale, internaționale și bilaterale și participarea la 10 acțiuni COST</w:t>
            </w:r>
            <w:r w:rsidRPr="00D96B7E">
              <w:rPr>
                <w:rFonts w:ascii="Times New Roman" w:hAnsi="Times New Roman" w:cs="Times New Roman"/>
                <w:lang w:val="ro-RO"/>
              </w:rPr>
              <w:t>.</w:t>
            </w:r>
            <w:r w:rsidRPr="00D96B7E">
              <w:rPr>
                <w:rFonts w:ascii="Times New Roman" w:eastAsia="Times New Roman" w:hAnsi="Times New Roman" w:cs="Times New Roman"/>
                <w:lang w:val="ro-RO"/>
              </w:rPr>
              <w:t xml:space="preserve"> </w:t>
            </w:r>
          </w:p>
          <w:p w14:paraId="432F663D" w14:textId="77777777" w:rsidR="00A1708F" w:rsidRPr="00D96B7E" w:rsidRDefault="00A1708F" w:rsidP="00D02ECF">
            <w:pPr>
              <w:spacing w:after="0" w:line="240" w:lineRule="auto"/>
              <w:ind w:left="27" w:firstLine="567"/>
              <w:jc w:val="both"/>
              <w:rPr>
                <w:rFonts w:ascii="Times New Roman" w:eastAsia="Times New Roman" w:hAnsi="Times New Roman" w:cs="Times New Roman"/>
                <w:lang w:val="ro-RO"/>
              </w:rPr>
            </w:pPr>
            <w:r w:rsidRPr="00D96B7E">
              <w:rPr>
                <w:rFonts w:ascii="Times New Roman" w:eastAsia="Times New Roman" w:hAnsi="Times New Roman" w:cs="Times New Roman"/>
                <w:lang w:val="ro-RO"/>
              </w:rPr>
              <w:t xml:space="preserve">Experții INCE au oferit suport în procesul de pregătire a notelor analitice și a studiilor necesare în procesul de screening bilateral, asigurând suport </w:t>
            </w:r>
            <w:proofErr w:type="spellStart"/>
            <w:r w:rsidRPr="00D96B7E">
              <w:rPr>
                <w:rFonts w:ascii="Times New Roman" w:eastAsia="Times New Roman" w:hAnsi="Times New Roman" w:cs="Times New Roman"/>
                <w:lang w:val="ro-RO"/>
              </w:rPr>
              <w:t>tehnico</w:t>
            </w:r>
            <w:proofErr w:type="spellEnd"/>
            <w:r w:rsidRPr="00D96B7E">
              <w:rPr>
                <w:rFonts w:ascii="Times New Roman" w:eastAsia="Times New Roman" w:hAnsi="Times New Roman" w:cs="Times New Roman"/>
                <w:lang w:val="ro-RO"/>
              </w:rPr>
              <w:t>-analitic autorităților publice prin furnizarea de date, analize comparative și evaluări de impact utilizate în formularea și ajustarea politicilor publice și a instrumentelor de sprijin economic.</w:t>
            </w:r>
          </w:p>
        </w:tc>
      </w:tr>
    </w:tbl>
    <w:p w14:paraId="10B011BE" w14:textId="77777777" w:rsidR="00A1708F" w:rsidRDefault="00A1708F" w:rsidP="00A1708F">
      <w:pPr>
        <w:keepNext/>
        <w:spacing w:after="0" w:line="276" w:lineRule="auto"/>
        <w:jc w:val="center"/>
        <w:rPr>
          <w:rFonts w:ascii="Times New Roman" w:eastAsia="Times New Roman" w:hAnsi="Times New Roman" w:cs="Times New Roman"/>
          <w:b/>
          <w:bCs/>
          <w:sz w:val="24"/>
          <w:szCs w:val="24"/>
          <w:lang w:val="ro-RO"/>
        </w:rPr>
      </w:pPr>
    </w:p>
    <w:p w14:paraId="4DA55142" w14:textId="77777777" w:rsidR="00A1708F" w:rsidRDefault="00A1708F" w:rsidP="00A1708F">
      <w:pPr>
        <w:keepNext/>
        <w:spacing w:after="0" w:line="276" w:lineRule="auto"/>
        <w:jc w:val="center"/>
        <w:rPr>
          <w:rFonts w:ascii="Times New Roman" w:eastAsia="Times New Roman" w:hAnsi="Times New Roman" w:cs="Times New Roman"/>
          <w:b/>
          <w:bCs/>
          <w:sz w:val="24"/>
          <w:szCs w:val="24"/>
          <w:lang w:val="ro-RO"/>
        </w:rPr>
      </w:pPr>
    </w:p>
    <w:p w14:paraId="5A2B2365" w14:textId="77777777" w:rsidR="00A1708F" w:rsidRDefault="00A1708F" w:rsidP="00A1708F">
      <w:pP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br w:type="page"/>
      </w:r>
    </w:p>
    <w:p w14:paraId="43F9D267" w14:textId="77777777" w:rsidR="00A1708F" w:rsidRPr="002224E1" w:rsidRDefault="00A1708F" w:rsidP="00A1708F">
      <w:pPr>
        <w:keepNext/>
        <w:spacing w:after="0" w:line="276" w:lineRule="auto"/>
        <w:jc w:val="center"/>
        <w:rPr>
          <w:rFonts w:ascii="Times New Roman" w:eastAsia="Times New Roman" w:hAnsi="Times New Roman" w:cs="Times New Roman"/>
          <w:b/>
          <w:bCs/>
          <w:sz w:val="24"/>
          <w:szCs w:val="24"/>
          <w:highlight w:val="white"/>
          <w:lang w:val="ro-RO"/>
        </w:rPr>
      </w:pPr>
      <w:proofErr w:type="spellStart"/>
      <w:r w:rsidRPr="002224E1">
        <w:rPr>
          <w:rFonts w:ascii="Times New Roman" w:eastAsia="Times New Roman" w:hAnsi="Times New Roman" w:cs="Times New Roman"/>
          <w:b/>
          <w:bCs/>
          <w:sz w:val="24"/>
          <w:szCs w:val="24"/>
          <w:lang w:val="ro-RO"/>
        </w:rPr>
        <w:lastRenderedPageBreak/>
        <w:t>Strengthening</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the</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resilience</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competitiveness</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and</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sustainability</w:t>
      </w:r>
      <w:proofErr w:type="spellEnd"/>
      <w:r w:rsidRPr="002224E1">
        <w:rPr>
          <w:rFonts w:ascii="Times New Roman" w:eastAsia="Times New Roman" w:hAnsi="Times New Roman" w:cs="Times New Roman"/>
          <w:b/>
          <w:bCs/>
          <w:sz w:val="24"/>
          <w:szCs w:val="24"/>
          <w:lang w:val="ro-RO"/>
        </w:rPr>
        <w:t xml:space="preserve"> of </w:t>
      </w:r>
      <w:proofErr w:type="spellStart"/>
      <w:r w:rsidRPr="002224E1">
        <w:rPr>
          <w:rFonts w:ascii="Times New Roman" w:eastAsia="Times New Roman" w:hAnsi="Times New Roman" w:cs="Times New Roman"/>
          <w:b/>
          <w:bCs/>
          <w:sz w:val="24"/>
          <w:szCs w:val="24"/>
          <w:lang w:val="ro-RO"/>
        </w:rPr>
        <w:t>the</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economy</w:t>
      </w:r>
      <w:proofErr w:type="spellEnd"/>
      <w:r w:rsidRPr="002224E1">
        <w:rPr>
          <w:rFonts w:ascii="Times New Roman" w:eastAsia="Times New Roman" w:hAnsi="Times New Roman" w:cs="Times New Roman"/>
          <w:b/>
          <w:bCs/>
          <w:sz w:val="24"/>
          <w:szCs w:val="24"/>
          <w:lang w:val="ro-RO"/>
        </w:rPr>
        <w:t xml:space="preserve"> of </w:t>
      </w:r>
      <w:proofErr w:type="spellStart"/>
      <w:r w:rsidRPr="002224E1">
        <w:rPr>
          <w:rFonts w:ascii="Times New Roman" w:eastAsia="Times New Roman" w:hAnsi="Times New Roman" w:cs="Times New Roman"/>
          <w:b/>
          <w:bCs/>
          <w:sz w:val="24"/>
          <w:szCs w:val="24"/>
          <w:lang w:val="ro-RO"/>
        </w:rPr>
        <w:t>the</w:t>
      </w:r>
      <w:proofErr w:type="spellEnd"/>
      <w:r w:rsidRPr="002224E1">
        <w:rPr>
          <w:rFonts w:ascii="Times New Roman" w:eastAsia="Times New Roman" w:hAnsi="Times New Roman" w:cs="Times New Roman"/>
          <w:b/>
          <w:bCs/>
          <w:sz w:val="24"/>
          <w:szCs w:val="24"/>
          <w:lang w:val="ro-RO"/>
        </w:rPr>
        <w:t xml:space="preserve"> Republic of Moldova in </w:t>
      </w:r>
      <w:proofErr w:type="spellStart"/>
      <w:r w:rsidRPr="002224E1">
        <w:rPr>
          <w:rFonts w:ascii="Times New Roman" w:eastAsia="Times New Roman" w:hAnsi="Times New Roman" w:cs="Times New Roman"/>
          <w:b/>
          <w:bCs/>
          <w:sz w:val="24"/>
          <w:szCs w:val="24"/>
          <w:lang w:val="ro-RO"/>
        </w:rPr>
        <w:t>the</w:t>
      </w:r>
      <w:proofErr w:type="spellEnd"/>
      <w:r w:rsidRPr="002224E1">
        <w:rPr>
          <w:rFonts w:ascii="Times New Roman" w:eastAsia="Times New Roman" w:hAnsi="Times New Roman" w:cs="Times New Roman"/>
          <w:b/>
          <w:bCs/>
          <w:sz w:val="24"/>
          <w:szCs w:val="24"/>
          <w:lang w:val="ro-RO"/>
        </w:rPr>
        <w:t xml:space="preserve"> context of </w:t>
      </w:r>
      <w:proofErr w:type="spellStart"/>
      <w:r w:rsidRPr="002224E1">
        <w:rPr>
          <w:rFonts w:ascii="Times New Roman" w:eastAsia="Times New Roman" w:hAnsi="Times New Roman" w:cs="Times New Roman"/>
          <w:b/>
          <w:bCs/>
          <w:sz w:val="24"/>
          <w:szCs w:val="24"/>
          <w:lang w:val="ro-RO"/>
        </w:rPr>
        <w:t>the</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accession</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process</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to</w:t>
      </w:r>
      <w:proofErr w:type="spellEnd"/>
      <w:r w:rsidRPr="002224E1">
        <w:rPr>
          <w:rFonts w:ascii="Times New Roman" w:eastAsia="Times New Roman" w:hAnsi="Times New Roman" w:cs="Times New Roman"/>
          <w:b/>
          <w:bCs/>
          <w:sz w:val="24"/>
          <w:szCs w:val="24"/>
          <w:lang w:val="ro-RO"/>
        </w:rPr>
        <w:t xml:space="preserve"> </w:t>
      </w:r>
      <w:proofErr w:type="spellStart"/>
      <w:r w:rsidRPr="002224E1">
        <w:rPr>
          <w:rFonts w:ascii="Times New Roman" w:eastAsia="Times New Roman" w:hAnsi="Times New Roman" w:cs="Times New Roman"/>
          <w:b/>
          <w:bCs/>
          <w:sz w:val="24"/>
          <w:szCs w:val="24"/>
          <w:lang w:val="ro-RO"/>
        </w:rPr>
        <w:t>the</w:t>
      </w:r>
      <w:proofErr w:type="spellEnd"/>
      <w:r w:rsidRPr="002224E1">
        <w:rPr>
          <w:rFonts w:ascii="Times New Roman" w:eastAsia="Times New Roman" w:hAnsi="Times New Roman" w:cs="Times New Roman"/>
          <w:b/>
          <w:bCs/>
          <w:sz w:val="24"/>
          <w:szCs w:val="24"/>
          <w:lang w:val="ro-RO"/>
        </w:rPr>
        <w:t xml:space="preserve"> European Union</w:t>
      </w:r>
      <w:r w:rsidRPr="002224E1">
        <w:rPr>
          <w:rFonts w:ascii="Times New Roman" w:eastAsia="Times New Roman" w:hAnsi="Times New Roman" w:cs="Times New Roman"/>
          <w:b/>
          <w:bCs/>
          <w:sz w:val="24"/>
          <w:szCs w:val="24"/>
          <w:highlight w:val="white"/>
          <w:lang w:val="ro-RO"/>
        </w:rPr>
        <w:t xml:space="preserve"> </w:t>
      </w:r>
    </w:p>
    <w:p w14:paraId="620984CB" w14:textId="77777777" w:rsidR="00A1708F" w:rsidRPr="00D96B7E" w:rsidRDefault="00A1708F" w:rsidP="00A1708F">
      <w:pPr>
        <w:keepNext/>
        <w:spacing w:after="120" w:line="276" w:lineRule="auto"/>
        <w:rPr>
          <w:rFonts w:ascii="Times New Roman" w:eastAsia="Times New Roman" w:hAnsi="Times New Roman" w:cs="Times New Roman"/>
          <w:b/>
          <w:bCs/>
          <w:lang w:val="ro-RO"/>
        </w:rPr>
      </w:pPr>
      <w:r w:rsidRPr="00D96B7E">
        <w:rPr>
          <w:rFonts w:ascii="Times New Roman" w:eastAsia="Times New Roman" w:hAnsi="Times New Roman" w:cs="Times New Roman"/>
          <w:b/>
          <w:bCs/>
          <w:lang w:val="ro-RO"/>
        </w:rPr>
        <w:t>Subprogram code 030101</w:t>
      </w:r>
    </w:p>
    <w:tbl>
      <w:tblPr>
        <w:tblStyle w:val="a5"/>
        <w:tblW w:w="0" w:type="auto"/>
        <w:tblLook w:val="04A0" w:firstRow="1" w:lastRow="0" w:firstColumn="1" w:lastColumn="0" w:noHBand="0" w:noVBand="1"/>
      </w:tblPr>
      <w:tblGrid>
        <w:gridCol w:w="9345"/>
      </w:tblGrid>
      <w:tr w:rsidR="00A1708F" w:rsidRPr="00D96B7E" w14:paraId="38D7FC8A" w14:textId="77777777" w:rsidTr="00D02ECF">
        <w:tc>
          <w:tcPr>
            <w:tcW w:w="9345" w:type="dxa"/>
          </w:tcPr>
          <w:p w14:paraId="2238559C" w14:textId="77777777" w:rsidR="00A1708F" w:rsidRPr="00D96B7E" w:rsidRDefault="00A1708F" w:rsidP="00D02ECF">
            <w:pPr>
              <w:pStyle w:val="a6"/>
              <w:spacing w:before="0" w:beforeAutospacing="0" w:after="0" w:afterAutospacing="0"/>
              <w:jc w:val="both"/>
              <w:rPr>
                <w:sz w:val="22"/>
                <w:szCs w:val="22"/>
                <w:lang w:val="en-GB"/>
              </w:rPr>
            </w:pPr>
            <w:r w:rsidRPr="00D96B7E">
              <w:rPr>
                <w:sz w:val="22"/>
                <w:szCs w:val="22"/>
                <w:lang w:val="en-GB"/>
              </w:rPr>
              <w:t>The research carried out within the subprogramme consolidated an integrated methodological framework that allows for the assessment of economic resilience, the analysis of sectoral competitiveness, and the substantiation of the transition towards a sustainable economy. The scientific and applied activities conducted in 2025 provided useful instruments and practical solutions in support of the national economy, in the context of EU pre-accession. The main results obtained and implemented, taking into account the established objectives, are as follows:</w:t>
            </w:r>
          </w:p>
          <w:p w14:paraId="663910CB" w14:textId="77777777" w:rsidR="00A1708F" w:rsidRPr="00D96B7E" w:rsidRDefault="00A1708F" w:rsidP="00A1708F">
            <w:pPr>
              <w:pStyle w:val="a6"/>
              <w:numPr>
                <w:ilvl w:val="0"/>
                <w:numId w:val="2"/>
              </w:numPr>
              <w:spacing w:before="0" w:beforeAutospacing="0" w:after="0" w:afterAutospacing="0"/>
              <w:jc w:val="both"/>
              <w:rPr>
                <w:sz w:val="22"/>
                <w:szCs w:val="22"/>
                <w:lang w:val="en-GB"/>
              </w:rPr>
            </w:pPr>
            <w:r w:rsidRPr="00D96B7E">
              <w:rPr>
                <w:sz w:val="22"/>
                <w:szCs w:val="22"/>
                <w:lang w:val="en-GB"/>
              </w:rPr>
              <w:t>The theoretical and methodological framework on economic resilience was consolidated, including systems of composite indicators, risk matrices, and econometric models, indicators for the assessment of inequality and social exclusion, as well as components dedicated to sustainable finance, ESG, and sustainable agriculture, applicable in research and sectoral analysis.</w:t>
            </w:r>
          </w:p>
          <w:p w14:paraId="364634C2" w14:textId="77777777" w:rsidR="00A1708F" w:rsidRPr="00D96B7E" w:rsidRDefault="00A1708F" w:rsidP="00A1708F">
            <w:pPr>
              <w:pStyle w:val="a6"/>
              <w:numPr>
                <w:ilvl w:val="0"/>
                <w:numId w:val="2"/>
              </w:numPr>
              <w:spacing w:before="0" w:beforeAutospacing="0" w:after="0" w:afterAutospacing="0"/>
              <w:jc w:val="both"/>
              <w:rPr>
                <w:sz w:val="22"/>
                <w:szCs w:val="22"/>
                <w:lang w:val="en-GB"/>
              </w:rPr>
            </w:pPr>
            <w:r w:rsidRPr="00D96B7E">
              <w:rPr>
                <w:sz w:val="22"/>
                <w:szCs w:val="22"/>
                <w:lang w:val="en-GB"/>
              </w:rPr>
              <w:t>Studies on European best practices and national empirical analyses allowed for the identification of adaptation mechanisms to the context of the Republic of Moldova, highlighting the level of preparedness of the population and the economic environment for the green transition and the consolidation of the circular economy.</w:t>
            </w:r>
          </w:p>
          <w:p w14:paraId="3E62B75D" w14:textId="77777777" w:rsidR="00A1708F" w:rsidRPr="00D96B7E" w:rsidRDefault="00A1708F" w:rsidP="00A1708F">
            <w:pPr>
              <w:pStyle w:val="a6"/>
              <w:numPr>
                <w:ilvl w:val="0"/>
                <w:numId w:val="2"/>
              </w:numPr>
              <w:spacing w:before="0" w:beforeAutospacing="0" w:after="0" w:afterAutospacing="0"/>
              <w:jc w:val="both"/>
              <w:rPr>
                <w:sz w:val="22"/>
                <w:szCs w:val="22"/>
                <w:lang w:val="en-GB"/>
              </w:rPr>
            </w:pPr>
            <w:r w:rsidRPr="00D96B7E">
              <w:rPr>
                <w:sz w:val="22"/>
                <w:szCs w:val="22"/>
                <w:lang w:val="en-GB"/>
              </w:rPr>
              <w:t>Empirical analyses of socially vulnerable groups and comparative studies on well-being, income inequality, and social inclusion contributed to the development and operationalisation of relevant indicators for measuring poverty and inequality. These allow for the characterisation of income distributions, the identification of segments exposed to risks of exclusion, and the assessment of the effectiveness of monetary interventions. The results constitute an analytical foundation for the formulation and calibration of social and monetary policy instruments oriented towards shock compensation, the reduction of polarisation, and the strengthening of social cohesion.</w:t>
            </w:r>
          </w:p>
          <w:p w14:paraId="6C215029" w14:textId="77777777" w:rsidR="00A1708F" w:rsidRPr="00D96B7E" w:rsidRDefault="00A1708F" w:rsidP="00A1708F">
            <w:pPr>
              <w:pStyle w:val="a6"/>
              <w:numPr>
                <w:ilvl w:val="0"/>
                <w:numId w:val="2"/>
              </w:numPr>
              <w:spacing w:before="0" w:beforeAutospacing="0" w:after="0" w:afterAutospacing="0"/>
              <w:jc w:val="both"/>
              <w:rPr>
                <w:sz w:val="22"/>
                <w:szCs w:val="22"/>
                <w:lang w:val="en-GB"/>
              </w:rPr>
            </w:pPr>
            <w:r w:rsidRPr="00D96B7E">
              <w:rPr>
                <w:sz w:val="22"/>
                <w:szCs w:val="22"/>
                <w:lang w:val="en-GB"/>
              </w:rPr>
              <w:t>Monitoring instruments and systems of indicators comparable with EU trends were developed, which support the substantiation of sectoral policies in agriculture, SME competitiveness, and the assessment of social risks, contributing to the alignment of the national analytical framework with European standards.</w:t>
            </w:r>
          </w:p>
          <w:p w14:paraId="550D2BE1" w14:textId="77777777" w:rsidR="00A1708F" w:rsidRPr="00D96B7E" w:rsidRDefault="00A1708F" w:rsidP="00A1708F">
            <w:pPr>
              <w:pStyle w:val="a6"/>
              <w:numPr>
                <w:ilvl w:val="0"/>
                <w:numId w:val="2"/>
              </w:numPr>
              <w:spacing w:before="0" w:beforeAutospacing="0" w:after="0" w:afterAutospacing="0"/>
              <w:jc w:val="both"/>
              <w:rPr>
                <w:sz w:val="22"/>
                <w:szCs w:val="22"/>
                <w:lang w:val="en-GB"/>
              </w:rPr>
            </w:pPr>
            <w:r w:rsidRPr="00D96B7E">
              <w:rPr>
                <w:sz w:val="22"/>
                <w:szCs w:val="22"/>
                <w:lang w:val="en-GB"/>
              </w:rPr>
              <w:t>Methodologies for the assessment of enterprise competitiveness and agricultural value chains were refined, and databases, cost tariffs, and income norms were elaborated, providing analytical support for agricultural policies and food security.</w:t>
            </w:r>
          </w:p>
          <w:p w14:paraId="755941A8" w14:textId="77777777" w:rsidR="00A1708F" w:rsidRPr="00D96B7E" w:rsidRDefault="00A1708F" w:rsidP="00D02ECF">
            <w:pPr>
              <w:pStyle w:val="a6"/>
              <w:spacing w:before="0" w:beforeAutospacing="0" w:after="0" w:afterAutospacing="0"/>
              <w:ind w:left="22" w:firstLine="338"/>
              <w:jc w:val="both"/>
              <w:rPr>
                <w:sz w:val="22"/>
                <w:szCs w:val="22"/>
                <w:lang w:val="en-GB"/>
              </w:rPr>
            </w:pPr>
            <w:r w:rsidRPr="00D96B7E">
              <w:rPr>
                <w:sz w:val="22"/>
                <w:szCs w:val="22"/>
                <w:lang w:val="en-GB"/>
              </w:rPr>
              <w:t>The results are disseminated through 16</w:t>
            </w:r>
            <w:r>
              <w:rPr>
                <w:sz w:val="22"/>
                <w:szCs w:val="22"/>
                <w:lang w:val="en-GB"/>
              </w:rPr>
              <w:t>3</w:t>
            </w:r>
            <w:r w:rsidRPr="00D96B7E">
              <w:rPr>
                <w:sz w:val="22"/>
                <w:szCs w:val="22"/>
                <w:lang w:val="en-GB"/>
              </w:rPr>
              <w:t xml:space="preserve"> scientific works published, including 2 analytical studies, 25 posters presented at international exhibitions, and 1 scientific work. Visibility is supported by 19 works published in journals and volumes indexed in </w:t>
            </w:r>
            <w:proofErr w:type="spellStart"/>
            <w:r w:rsidRPr="00D96B7E">
              <w:rPr>
                <w:sz w:val="22"/>
                <w:szCs w:val="22"/>
                <w:lang w:val="en-GB"/>
              </w:rPr>
              <w:t>WoS</w:t>
            </w:r>
            <w:proofErr w:type="spellEnd"/>
            <w:r w:rsidRPr="00D96B7E">
              <w:rPr>
                <w:sz w:val="22"/>
                <w:szCs w:val="22"/>
                <w:lang w:val="en-GB"/>
              </w:rPr>
              <w:t>/Scopus/Springer, 4</w:t>
            </w:r>
            <w:r>
              <w:rPr>
                <w:sz w:val="22"/>
                <w:szCs w:val="22"/>
                <w:lang w:val="en-GB"/>
              </w:rPr>
              <w:t>8</w:t>
            </w:r>
            <w:r w:rsidRPr="00D96B7E">
              <w:rPr>
                <w:sz w:val="22"/>
                <w:szCs w:val="22"/>
                <w:lang w:val="en-GB"/>
              </w:rPr>
              <w:t xml:space="preserve"> articles in international specialised journals and nationally accredited journals, as well as 52 articles in collections of scientific conference proceedings organised domestically and abroad. Recognition is confirmed by the 28 medals obtained at international innovation salons and exhibitions (EUROINVENT 2025, INFOINVENT 2025, and others). Likewise, 6 international scientific conferences and 10 round tables, seminars, public launches, and workshops were organised, where 25 reports intended for the academic environment, public authorities, and other actors were presented.</w:t>
            </w:r>
          </w:p>
          <w:p w14:paraId="7C38D1F3" w14:textId="77777777" w:rsidR="00A1708F" w:rsidRPr="00D96B7E" w:rsidRDefault="00A1708F" w:rsidP="00D02ECF">
            <w:pPr>
              <w:pStyle w:val="a6"/>
              <w:spacing w:before="0" w:beforeAutospacing="0" w:after="0" w:afterAutospacing="0"/>
              <w:jc w:val="both"/>
              <w:rPr>
                <w:sz w:val="22"/>
                <w:szCs w:val="22"/>
                <w:lang w:val="en-GB"/>
              </w:rPr>
            </w:pPr>
            <w:r w:rsidRPr="00D96B7E">
              <w:rPr>
                <w:sz w:val="22"/>
                <w:szCs w:val="22"/>
                <w:lang w:val="en-GB"/>
              </w:rPr>
              <w:t>International cooperation was consolidated through participation in international projects and networks, including Horizon Europe competitions, with 5 Horizon Europe project proposals and 8 proposals submitted to other international calls, as well as through the implementation of 5 national, international, and bilateral projects and participation in 10 COST Actions.</w:t>
            </w:r>
          </w:p>
          <w:p w14:paraId="2E2D8464" w14:textId="77777777" w:rsidR="00A1708F" w:rsidRDefault="00A1708F" w:rsidP="00D02ECF">
            <w:pPr>
              <w:pStyle w:val="a6"/>
              <w:spacing w:before="0" w:beforeAutospacing="0" w:after="0" w:afterAutospacing="0"/>
              <w:jc w:val="both"/>
              <w:rPr>
                <w:sz w:val="22"/>
                <w:szCs w:val="22"/>
                <w:lang w:val="en-GB"/>
              </w:rPr>
            </w:pPr>
            <w:r w:rsidRPr="00D96B7E">
              <w:rPr>
                <w:sz w:val="22"/>
                <w:szCs w:val="22"/>
                <w:lang w:val="en-GB"/>
              </w:rPr>
              <w:t>INCE experts provided support in the process of preparing analytical notes and studies necessary for the bilateral screening process, ensuring technical and analytical support to public authorities through the provision of data, comparative analyses, and impact assessments used in the formulation and adjustment of public policies and economic support instruments.</w:t>
            </w:r>
          </w:p>
          <w:p w14:paraId="2ADB444D" w14:textId="5703219E" w:rsidR="006A4A59" w:rsidRPr="00D96B7E" w:rsidRDefault="006A4A59" w:rsidP="00D02ECF">
            <w:pPr>
              <w:pStyle w:val="a6"/>
              <w:spacing w:before="0" w:beforeAutospacing="0" w:after="0" w:afterAutospacing="0"/>
              <w:jc w:val="both"/>
              <w:rPr>
                <w:sz w:val="22"/>
                <w:szCs w:val="22"/>
                <w:lang w:val="ro-RO"/>
              </w:rPr>
            </w:pPr>
          </w:p>
        </w:tc>
      </w:tr>
    </w:tbl>
    <w:p w14:paraId="5100074F" w14:textId="77777777" w:rsidR="00A1708F" w:rsidRPr="002224E1" w:rsidRDefault="00A1708F" w:rsidP="00A1708F">
      <w:pPr>
        <w:spacing w:after="0" w:line="276" w:lineRule="auto"/>
        <w:rPr>
          <w:rFonts w:ascii="Times New Roman" w:eastAsia="Times New Roman" w:hAnsi="Times New Roman" w:cs="Times New Roman"/>
          <w:sz w:val="24"/>
          <w:szCs w:val="24"/>
          <w:lang w:val="ro-RO"/>
        </w:rPr>
      </w:pPr>
    </w:p>
    <w:tbl>
      <w:tblPr>
        <w:tblStyle w:val="5"/>
        <w:tblW w:w="934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397"/>
        <w:gridCol w:w="2833"/>
        <w:gridCol w:w="3119"/>
      </w:tblGrid>
      <w:tr w:rsidR="00A1708F" w:rsidRPr="002224E1" w14:paraId="7D1BDFC2" w14:textId="77777777" w:rsidTr="00D02ECF">
        <w:tc>
          <w:tcPr>
            <w:tcW w:w="3397" w:type="dxa"/>
          </w:tcPr>
          <w:p w14:paraId="09253EFD" w14:textId="77777777" w:rsidR="00A1708F" w:rsidRPr="002224E1" w:rsidRDefault="00A1708F" w:rsidP="00D02ECF">
            <w:pPr>
              <w:spacing w:line="276" w:lineRule="auto"/>
              <w:rPr>
                <w:rFonts w:ascii="Times New Roman" w:eastAsia="Times New Roman" w:hAnsi="Times New Roman" w:cs="Times New Roman"/>
                <w:b/>
                <w:bCs/>
                <w:sz w:val="24"/>
                <w:szCs w:val="24"/>
                <w:lang w:val="ro-RO"/>
              </w:rPr>
            </w:pPr>
            <w:r w:rsidRPr="002224E1">
              <w:rPr>
                <w:rFonts w:ascii="Times New Roman" w:eastAsia="Times New Roman" w:hAnsi="Times New Roman" w:cs="Times New Roman"/>
                <w:b/>
                <w:bCs/>
                <w:sz w:val="24"/>
                <w:szCs w:val="24"/>
                <w:lang w:val="ro-RO"/>
              </w:rPr>
              <w:t xml:space="preserve">Coordonatorul subprogramului                           </w:t>
            </w:r>
          </w:p>
          <w:p w14:paraId="74EE28DA" w14:textId="77777777" w:rsidR="00A1708F" w:rsidRPr="002224E1" w:rsidRDefault="00A1708F" w:rsidP="00D02ECF">
            <w:pPr>
              <w:spacing w:line="276" w:lineRule="auto"/>
              <w:rPr>
                <w:rFonts w:ascii="Times New Roman" w:eastAsia="Times New Roman" w:hAnsi="Times New Roman" w:cs="Times New Roman"/>
                <w:b/>
                <w:bCs/>
                <w:sz w:val="24"/>
                <w:szCs w:val="24"/>
                <w:lang w:val="ro-RO"/>
              </w:rPr>
            </w:pPr>
            <w:r w:rsidRPr="002224E1">
              <w:rPr>
                <w:rFonts w:ascii="Times New Roman" w:eastAsia="Times New Roman" w:hAnsi="Times New Roman" w:cs="Times New Roman"/>
                <w:b/>
                <w:bCs/>
                <w:sz w:val="24"/>
                <w:szCs w:val="24"/>
                <w:lang w:val="ro-RO"/>
              </w:rPr>
              <w:t>de cercetare</w:t>
            </w:r>
          </w:p>
        </w:tc>
        <w:tc>
          <w:tcPr>
            <w:tcW w:w="2833" w:type="dxa"/>
          </w:tcPr>
          <w:p w14:paraId="6FA23531" w14:textId="77777777" w:rsidR="00A1708F" w:rsidRPr="002224E1" w:rsidRDefault="00A1708F" w:rsidP="00D02ECF">
            <w:pPr>
              <w:spacing w:line="276" w:lineRule="auto"/>
              <w:jc w:val="center"/>
              <w:rPr>
                <w:rFonts w:ascii="Times New Roman" w:eastAsia="Times New Roman" w:hAnsi="Times New Roman" w:cs="Times New Roman"/>
                <w:b/>
                <w:bCs/>
                <w:sz w:val="24"/>
                <w:szCs w:val="24"/>
                <w:lang w:val="ro-RO"/>
              </w:rPr>
            </w:pPr>
          </w:p>
          <w:p w14:paraId="3CDF9EB3" w14:textId="77777777" w:rsidR="00A1708F" w:rsidRPr="002224E1" w:rsidRDefault="00A1708F" w:rsidP="00D02ECF">
            <w:pPr>
              <w:spacing w:line="276" w:lineRule="auto"/>
              <w:jc w:val="center"/>
              <w:rPr>
                <w:rFonts w:ascii="Times New Roman" w:eastAsia="Times New Roman" w:hAnsi="Times New Roman" w:cs="Times New Roman"/>
                <w:b/>
                <w:bCs/>
                <w:sz w:val="24"/>
                <w:szCs w:val="24"/>
                <w:lang w:val="ro-RO"/>
              </w:rPr>
            </w:pPr>
            <w:r w:rsidRPr="002224E1">
              <w:rPr>
                <w:rFonts w:ascii="Times New Roman" w:eastAsia="Times New Roman" w:hAnsi="Times New Roman" w:cs="Times New Roman"/>
                <w:b/>
                <w:bCs/>
                <w:sz w:val="24"/>
                <w:szCs w:val="24"/>
                <w:lang w:val="ro-RO"/>
              </w:rPr>
              <w:t>TIMUȘ Angela</w:t>
            </w:r>
          </w:p>
        </w:tc>
        <w:tc>
          <w:tcPr>
            <w:tcW w:w="3119" w:type="dxa"/>
          </w:tcPr>
          <w:p w14:paraId="69D80347" w14:textId="77777777" w:rsidR="00A1708F" w:rsidRPr="002224E1" w:rsidRDefault="00A1708F" w:rsidP="00D02ECF">
            <w:pPr>
              <w:spacing w:line="276" w:lineRule="auto"/>
              <w:jc w:val="right"/>
              <w:rPr>
                <w:rFonts w:ascii="Times New Roman" w:eastAsia="Times New Roman" w:hAnsi="Times New Roman" w:cs="Times New Roman"/>
                <w:sz w:val="24"/>
                <w:szCs w:val="24"/>
                <w:lang w:val="ro-RO"/>
              </w:rPr>
            </w:pPr>
          </w:p>
          <w:p w14:paraId="1F02BB39" w14:textId="77777777" w:rsidR="00A1708F" w:rsidRPr="002224E1" w:rsidRDefault="00A1708F" w:rsidP="00D02ECF">
            <w:pPr>
              <w:spacing w:line="276" w:lineRule="auto"/>
              <w:jc w:val="right"/>
              <w:rPr>
                <w:rFonts w:ascii="Times New Roman" w:eastAsia="Times New Roman" w:hAnsi="Times New Roman" w:cs="Times New Roman"/>
                <w:sz w:val="24"/>
                <w:szCs w:val="24"/>
                <w:lang w:val="ro-RO"/>
              </w:rPr>
            </w:pPr>
            <w:r w:rsidRPr="002224E1">
              <w:rPr>
                <w:rFonts w:ascii="Times New Roman" w:eastAsia="Times New Roman" w:hAnsi="Times New Roman" w:cs="Times New Roman"/>
                <w:sz w:val="24"/>
                <w:szCs w:val="24"/>
                <w:lang w:val="ro-RO"/>
              </w:rPr>
              <w:t>________</w:t>
            </w:r>
          </w:p>
          <w:p w14:paraId="46D539EC" w14:textId="77777777" w:rsidR="00A1708F" w:rsidRPr="002224E1" w:rsidRDefault="00A1708F" w:rsidP="00D02ECF">
            <w:pPr>
              <w:spacing w:line="276" w:lineRule="auto"/>
              <w:jc w:val="right"/>
              <w:rPr>
                <w:rFonts w:ascii="Times New Roman" w:eastAsia="Times New Roman" w:hAnsi="Times New Roman" w:cs="Times New Roman"/>
                <w:sz w:val="24"/>
                <w:szCs w:val="24"/>
                <w:lang w:val="ro-RO"/>
              </w:rPr>
            </w:pPr>
            <w:r w:rsidRPr="002224E1">
              <w:rPr>
                <w:rFonts w:ascii="Times New Roman" w:eastAsia="Times New Roman" w:hAnsi="Times New Roman" w:cs="Times New Roman"/>
                <w:lang w:val="ro-RO"/>
              </w:rPr>
              <w:t xml:space="preserve">(semnătura)              </w:t>
            </w:r>
          </w:p>
        </w:tc>
      </w:tr>
    </w:tbl>
    <w:p w14:paraId="772F609A" w14:textId="77777777" w:rsidR="00EA6BDA" w:rsidRPr="00A1708F" w:rsidRDefault="00EA6BDA" w:rsidP="00A1708F"/>
    <w:sectPr w:rsidR="00EA6BDA" w:rsidRPr="00A17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A2B3F"/>
    <w:multiLevelType w:val="multilevel"/>
    <w:tmpl w:val="87B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47A4E"/>
    <w:multiLevelType w:val="hybridMultilevel"/>
    <w:tmpl w:val="AEF0B9E0"/>
    <w:lvl w:ilvl="0" w:tplc="A4E092EE">
      <w:start w:val="8"/>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FE160DB"/>
    <w:multiLevelType w:val="multilevel"/>
    <w:tmpl w:val="013C9A5C"/>
    <w:lvl w:ilvl="0">
      <w:start w:val="8"/>
      <w:numFmt w:val="bullet"/>
      <w:lvlText w:val="-"/>
      <w:lvlJc w:val="left"/>
      <w:pPr>
        <w:ind w:left="360" w:hanging="360"/>
      </w:pPr>
      <w:rPr>
        <w:rFonts w:ascii="Times New Roman" w:eastAsia="Times New Roman" w:hAnsi="Times New Roman" w:cs="Times New Roman"/>
        <w:i/>
        <w:i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50"/>
    <w:rsid w:val="004B3650"/>
    <w:rsid w:val="0052635C"/>
    <w:rsid w:val="005E145F"/>
    <w:rsid w:val="006A4A59"/>
    <w:rsid w:val="006F22B3"/>
    <w:rsid w:val="00A1708F"/>
    <w:rsid w:val="00AC18CD"/>
    <w:rsid w:val="00B06C80"/>
    <w:rsid w:val="00CA2703"/>
    <w:rsid w:val="00EA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4FE6"/>
  <w15:chartTrackingRefBased/>
  <w15:docId w15:val="{CDA1262A-3ABE-40F3-A86C-AA7EF4A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650"/>
    <w:rPr>
      <w:rFonts w:ascii="Calibri" w:eastAsia="Calibri" w:hAnsi="Calibri" w:cs="Calibri"/>
      <w:lang w:val="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oetelu (bulletid),Referncias,1st level - Bullet List Paragraph,Lettre d'introduction,Paragrafo elenco,Medium Grid 1 - Accent 21,Normal bullet 2,Bullet list,Numbered List,Colorful List - Accent 11,Listenabsatz,Puces,List Paragraph 1,Stil3"/>
    <w:link w:val="a4"/>
    <w:uiPriority w:val="34"/>
    <w:qFormat/>
    <w:rsid w:val="004B3650"/>
    <w:pPr>
      <w:spacing w:line="254" w:lineRule="auto"/>
      <w:ind w:left="720"/>
      <w:contextualSpacing/>
    </w:pPr>
    <w:rPr>
      <w:rFonts w:ascii="Calibri" w:eastAsia="Calibri" w:hAnsi="Calibri" w:cs="Calibri"/>
      <w:lang w:val="x-none" w:eastAsia="ru-RU"/>
    </w:rPr>
  </w:style>
  <w:style w:type="character" w:customStyle="1" w:styleId="a4">
    <w:name w:val="Абзац списка Знак"/>
    <w:aliases w:val="Loetelu (bulletid) Знак,Referncias Знак,1st level - Bullet List Paragraph Знак,Lettre d'introduction Знак,Paragrafo elenco Знак,Medium Grid 1 - Accent 21 Знак,Normal bullet 2 Знак,Bullet list Знак,Numbered List Знак,Listenabsatz Знак"/>
    <w:link w:val="a3"/>
    <w:uiPriority w:val="34"/>
    <w:qFormat/>
    <w:locked/>
    <w:rsid w:val="004B3650"/>
    <w:rPr>
      <w:rFonts w:ascii="Calibri" w:eastAsia="Calibri" w:hAnsi="Calibri" w:cs="Calibri"/>
      <w:lang w:val="x-none" w:eastAsia="ru-RU"/>
    </w:rPr>
  </w:style>
  <w:style w:type="table" w:customStyle="1" w:styleId="6">
    <w:name w:val="6"/>
    <w:basedOn w:val="a1"/>
    <w:rsid w:val="004B3650"/>
    <w:rPr>
      <w:rFonts w:ascii="Calibri" w:eastAsia="Calibri" w:hAnsi="Calibri" w:cs="Calibri"/>
      <w:lang w:val="ro" w:eastAsia="ru-RU"/>
    </w:rPr>
    <w:tblPr>
      <w:tblStyleRowBandSize w:val="1"/>
      <w:tblStyleColBandSize w:val="1"/>
      <w:tblInd w:w="0" w:type="nil"/>
      <w:tblCellMar>
        <w:left w:w="115" w:type="dxa"/>
        <w:right w:w="115" w:type="dxa"/>
      </w:tblCellMar>
    </w:tblPr>
  </w:style>
  <w:style w:type="table" w:customStyle="1" w:styleId="5">
    <w:name w:val="5"/>
    <w:basedOn w:val="a1"/>
    <w:rsid w:val="004B3650"/>
    <w:pPr>
      <w:spacing w:after="0" w:line="240" w:lineRule="auto"/>
    </w:pPr>
    <w:rPr>
      <w:rFonts w:ascii="Calibri" w:eastAsia="Calibri" w:hAnsi="Calibri" w:cs="Calibri"/>
      <w:lang w:val="ro" w:eastAsia="ru-RU"/>
    </w:rPr>
    <w:tblPr>
      <w:tblStyleRowBandSize w:val="1"/>
      <w:tblStyleColBandSize w:val="1"/>
      <w:tblInd w:w="0" w:type="nil"/>
    </w:tblPr>
  </w:style>
  <w:style w:type="table" w:styleId="a5">
    <w:name w:val="Table Grid"/>
    <w:basedOn w:val="a1"/>
    <w:uiPriority w:val="39"/>
    <w:qFormat/>
    <w:rsid w:val="00AC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qFormat/>
    <w:rsid w:val="00AC18CD"/>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9676">
      <w:bodyDiv w:val="1"/>
      <w:marLeft w:val="0"/>
      <w:marRight w:val="0"/>
      <w:marTop w:val="0"/>
      <w:marBottom w:val="0"/>
      <w:divBdr>
        <w:top w:val="none" w:sz="0" w:space="0" w:color="auto"/>
        <w:left w:val="none" w:sz="0" w:space="0" w:color="auto"/>
        <w:bottom w:val="none" w:sz="0" w:space="0" w:color="auto"/>
        <w:right w:val="none" w:sz="0" w:space="0" w:color="auto"/>
      </w:divBdr>
    </w:div>
    <w:div w:id="1544248563">
      <w:bodyDiv w:val="1"/>
      <w:marLeft w:val="0"/>
      <w:marRight w:val="0"/>
      <w:marTop w:val="0"/>
      <w:marBottom w:val="0"/>
      <w:divBdr>
        <w:top w:val="none" w:sz="0" w:space="0" w:color="auto"/>
        <w:left w:val="none" w:sz="0" w:space="0" w:color="auto"/>
        <w:bottom w:val="none" w:sz="0" w:space="0" w:color="auto"/>
        <w:right w:val="none" w:sz="0" w:space="0" w:color="auto"/>
      </w:divBdr>
    </w:div>
    <w:div w:id="17442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5869-1879-4D5A-A000-6DA2E9D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Timus</dc:creator>
  <cp:keywords/>
  <dc:description/>
  <cp:lastModifiedBy>Angela Timus</cp:lastModifiedBy>
  <cp:revision>4</cp:revision>
  <cp:lastPrinted>2026-01-29T08:28:00Z</cp:lastPrinted>
  <dcterms:created xsi:type="dcterms:W3CDTF">2026-01-29T06:35:00Z</dcterms:created>
  <dcterms:modified xsi:type="dcterms:W3CDTF">2026-01-29T08:28:00Z</dcterms:modified>
</cp:coreProperties>
</file>