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B55B" w14:textId="77777777" w:rsidR="00C36187" w:rsidRPr="00D61877" w:rsidRDefault="00C36187" w:rsidP="00C36187">
      <w:pPr>
        <w:keepNext/>
        <w:spacing w:after="120" w:line="276" w:lineRule="auto"/>
        <w:jc w:val="center"/>
        <w:outlineLvl w:val="0"/>
        <w:rPr>
          <w:b/>
          <w:bCs/>
          <w:kern w:val="32"/>
          <w:lang w:val="ro-RO"/>
        </w:rPr>
      </w:pPr>
      <w:bookmarkStart w:id="0" w:name="_Toc219972796"/>
      <w:r w:rsidRPr="00D61877">
        <w:rPr>
          <w:b/>
          <w:bCs/>
          <w:kern w:val="32"/>
          <w:lang w:val="ro-RO"/>
        </w:rPr>
        <w:t xml:space="preserve">Rezumatul activității și a rezultatelor obținute în </w:t>
      </w:r>
      <w:r w:rsidRPr="00D61877">
        <w:rPr>
          <w:b/>
          <w:color w:val="000000"/>
          <w:kern w:val="32"/>
          <w:lang w:val="ro-RO"/>
        </w:rPr>
        <w:t>subprogram</w:t>
      </w:r>
      <w:r w:rsidRPr="00D61877">
        <w:rPr>
          <w:b/>
          <w:bCs/>
          <w:kern w:val="32"/>
          <w:lang w:val="ro-RO"/>
        </w:rPr>
        <w:t xml:space="preserve"> în anul 202</w:t>
      </w:r>
      <w:r>
        <w:rPr>
          <w:b/>
          <w:bCs/>
          <w:kern w:val="32"/>
          <w:lang w:val="ro-RO"/>
        </w:rPr>
        <w:t>5</w:t>
      </w:r>
      <w:bookmarkEnd w:id="0"/>
    </w:p>
    <w:p w14:paraId="6A7F3A4D" w14:textId="1F291AE4" w:rsidR="00C36187" w:rsidRPr="00C36187" w:rsidRDefault="00C36187" w:rsidP="00C36187">
      <w:pPr>
        <w:pStyle w:val="NoSpacing"/>
        <w:spacing w:line="276" w:lineRule="auto"/>
        <w:jc w:val="center"/>
        <w:rPr>
          <w:rFonts w:ascii="Times New Roman" w:hAnsi="Times New Roman"/>
          <w:b/>
          <w:color w:val="auto"/>
          <w:u w:val="single"/>
        </w:rPr>
      </w:pPr>
      <w:r w:rsidRPr="00CE24AB">
        <w:rPr>
          <w:rFonts w:ascii="Times New Roman" w:hAnsi="Times New Roman"/>
          <w:b/>
          <w:color w:val="auto"/>
          <w:u w:val="single"/>
        </w:rPr>
        <w:t xml:space="preserve">Cercetări privind Asigurarea Dezvoltării Durabile și Creșterii  Competitivității Republicii Moldova în Context European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36187" w:rsidRPr="00C36187" w14:paraId="6AD8D047" w14:textId="77777777" w:rsidTr="00C36187">
        <w:tc>
          <w:tcPr>
            <w:tcW w:w="9776" w:type="dxa"/>
          </w:tcPr>
          <w:p w14:paraId="2DEC7A3C" w14:textId="77777777" w:rsidR="00C36187" w:rsidRPr="00C36187" w:rsidRDefault="00C36187" w:rsidP="00D800C5">
            <w:pPr>
              <w:pBdr>
                <w:top w:val="nil"/>
                <w:left w:val="nil"/>
                <w:bottom w:val="nil"/>
                <w:right w:val="nil"/>
                <w:between w:val="nil"/>
              </w:pBdr>
              <w:jc w:val="both"/>
              <w:rPr>
                <w:bCs/>
                <w:sz w:val="23"/>
                <w:szCs w:val="23"/>
                <w:lang w:val="it-IT"/>
              </w:rPr>
            </w:pPr>
            <w:r w:rsidRPr="00C36187">
              <w:rPr>
                <w:bCs/>
                <w:sz w:val="23"/>
                <w:szCs w:val="23"/>
                <w:lang w:val="ro-RO"/>
              </w:rPr>
              <w:t>Activitățile de cercetare interdisciplinară din cadrul subprogramului au continuat pe trei direcții tematice complementare.</w:t>
            </w:r>
            <w:r w:rsidRPr="00C36187">
              <w:rPr>
                <w:b/>
                <w:bCs/>
                <w:i/>
                <w:iCs/>
                <w:sz w:val="23"/>
                <w:szCs w:val="23"/>
                <w:lang w:val="it-IT"/>
              </w:rPr>
              <w:t>Direcția 1. Construcții și dezvoltare imobiliară</w:t>
            </w:r>
            <w:r w:rsidRPr="00C36187">
              <w:rPr>
                <w:b/>
                <w:bCs/>
                <w:sz w:val="23"/>
                <w:szCs w:val="23"/>
                <w:lang w:val="it-IT"/>
              </w:rPr>
              <w:t>.</w:t>
            </w:r>
            <w:r w:rsidRPr="00C36187">
              <w:rPr>
                <w:bCs/>
                <w:sz w:val="23"/>
                <w:szCs w:val="23"/>
                <w:lang w:val="it-IT"/>
              </w:rPr>
              <w:t xml:space="preserve"> Cercetările au furnizat o evaluare aplicată a soluțiilor de dezvoltare durabilă din sectorul construcțiilor din Republica Moldova, cu accent pe eficiența energetică, gestionarea resurselor și protecția patrimoniului construit. Rezultatele au confirmat că reabilitarea fondului construit prin măsuri tehnice moderne poate conduce la reducerea consumului energetic și a impactului asupra mediului, sporind totodată autonomia energetică. Analizele privind deșeurile din construcții și demolări au evidențiat potențialul reciclării și reutilizării pentru susținerea economiei circulare și diminuarea presiunii asupra resurselor naturale. Studiile asupra certificatelor verzi au demonstrat utilitatea acestora în creșterea transparenței performanței de mediu și în alinierea la standarde internaționale. Componenta juridică a cercetării a identificat carențe structurale ale cadrului normativ imobiliar (neclarități procedurale, aplicare neuniformă a unor mecanisme juridice și interpretări divergente ale unor instituții de drept), cu efect asupra securității juridice și predictibilității tranzacțiilor. Rezultatul transversal îl constituie argumentarea necesității unei abordări integrate pentru protecția patrimoniului imobiliar cultural, prin corelarea dimensiunilor juridice, economice și sociale. În domeniul evaluării și managementului bunurilor imobile, cercetările au evidențiat probleme de standardizare, dificultăți de corelare cu dinamica pieței și integrare insuficientă a factorilor macroeconomici, ceea ce amplifică riscurile în garantarea împrumuturilor și raportarea financiară. Ca răspuns aplicativ, au fost elaborate trei ghiduri metodologice orientate spre uniformizarea practicilor și reducerea discrepanțelor metodologice. </w:t>
            </w:r>
            <w:r w:rsidRPr="00C36187">
              <w:rPr>
                <w:b/>
                <w:bCs/>
                <w:i/>
                <w:iCs/>
                <w:sz w:val="23"/>
                <w:szCs w:val="23"/>
                <w:lang w:val="it-IT"/>
              </w:rPr>
              <w:t>Direcția 2. Industrie, inginerie economică și economie agrară</w:t>
            </w:r>
            <w:r w:rsidRPr="00C36187">
              <w:rPr>
                <w:b/>
                <w:bCs/>
                <w:sz w:val="23"/>
                <w:szCs w:val="23"/>
                <w:lang w:val="it-IT"/>
              </w:rPr>
              <w:t>.</w:t>
            </w:r>
            <w:r w:rsidRPr="00C36187">
              <w:rPr>
                <w:bCs/>
                <w:sz w:val="23"/>
                <w:szCs w:val="23"/>
                <w:lang w:val="it-IT"/>
              </w:rPr>
              <w:t xml:space="preserve"> Cercetările au sprijinit tranziția către economia circulară prin instrumente de diagnoză, analiză și orientare strategică. Aplicarea unui chestionar complex în cadrul proiectului Erasmus+ PubCirEco a permis evaluarea nivelului de înțelegere și implementare a economiei circulare în instituții publice și private, iar datele obținute au fundamentat un studiu analitic și recomandări pentru politici și programe de instruire. În paralel, rezultatele au susținut modernizarea educației prin dezvoltarea unui curs de master dedicat măsurilor și indicatorilor economiei circulare. Contribuțiile științifice aplicative au inclus cercetări avansate privind modele de afaceri circulare în sectorul vitivinicol și analize ale lanțurilor valorice agricole, care au evidențiat oportunități de eficientizare a resurselor și reducere a pierderilor. Totodată, au fost sistematizate cerințe emergente asociate armonizării cu UE (raportare de sustenabilitate, gestionarea deșeurilor, tranziție energetică și instrumente verzi), conturând un cadru de adaptare pentru mediul instituțional și economic. </w:t>
            </w:r>
            <w:r w:rsidRPr="00C36187">
              <w:rPr>
                <w:b/>
                <w:bCs/>
                <w:i/>
                <w:iCs/>
                <w:sz w:val="23"/>
                <w:szCs w:val="23"/>
                <w:lang w:val="it-IT"/>
              </w:rPr>
              <w:t>Direcția 3. Textile și poligrafie</w:t>
            </w:r>
            <w:r w:rsidRPr="00C36187">
              <w:rPr>
                <w:b/>
                <w:bCs/>
                <w:sz w:val="23"/>
                <w:szCs w:val="23"/>
                <w:lang w:val="it-IT"/>
              </w:rPr>
              <w:t>.</w:t>
            </w:r>
            <w:r w:rsidRPr="00C36187">
              <w:rPr>
                <w:bCs/>
                <w:sz w:val="23"/>
                <w:szCs w:val="23"/>
                <w:lang w:val="it-IT"/>
              </w:rPr>
              <w:t xml:space="preserve"> Cercetările au evaluat integrarea principiilor dezvoltării durabile în cadrul normativ național și gradul de armonizare cu acquis-ul UE în domeniile textil și tipografic, constatând progrese, dar și neuniformități și fragmentări care limitează aplicarea coerentă. Studierea practicilor sustenabile în companiile textile a confirmat funcționalitatea tranziției prin fabricație responsabilă (materiale ecologice, tehnologii inovatoare, practici etice) și a evidențiat rolul decisiv al digitalizării în creșterea eficienței și reducerea risipei (inclusiv reducerea deșeurilor prin tehnologii de proiectare și producție digitală). În sectorul tipografic, cercetările au subliniat relevanța reglementărilor privind ambalajele și a mecanismelor de Responsabilitate Extinsă a Producătorului pentru reciclare, reducerea deșeurilor și utilizarea materialelor regenerabile, precum și necesitatea reproiectării proceselor de design în logică circulară. Analiza aplicabilității principiilor economiei circulare a confirmat viabilitatea modelelor de colectare, reutilizare și logistică inversă și a evidențiat potențialul inovării în ambalaje. Activitățile de formare profesională (CLO 3D, GeminiCAD) au generat rezultate aplicative prin consolidarea competențelor de prototipare virtuală și proiectare digitală, cu efect direct asupra reducerii consumului de materiale și a deșeurilor.</w:t>
            </w:r>
          </w:p>
          <w:p w14:paraId="641A169A" w14:textId="77777777" w:rsidR="00C36187" w:rsidRDefault="00C36187" w:rsidP="00D800C5">
            <w:pPr>
              <w:pBdr>
                <w:top w:val="nil"/>
                <w:left w:val="nil"/>
                <w:bottom w:val="nil"/>
                <w:right w:val="nil"/>
                <w:between w:val="nil"/>
              </w:pBdr>
              <w:jc w:val="both"/>
              <w:rPr>
                <w:bCs/>
                <w:sz w:val="23"/>
                <w:szCs w:val="23"/>
                <w:lang w:val="ro-RO"/>
              </w:rPr>
            </w:pPr>
          </w:p>
          <w:p w14:paraId="293E735B" w14:textId="77777777" w:rsidR="00573DB3" w:rsidRPr="00C36187" w:rsidRDefault="00573DB3" w:rsidP="00D800C5">
            <w:pPr>
              <w:pBdr>
                <w:top w:val="nil"/>
                <w:left w:val="nil"/>
                <w:bottom w:val="nil"/>
                <w:right w:val="nil"/>
                <w:between w:val="nil"/>
              </w:pBdr>
              <w:jc w:val="both"/>
              <w:rPr>
                <w:bCs/>
                <w:sz w:val="23"/>
                <w:szCs w:val="23"/>
                <w:lang w:val="ro-RO"/>
              </w:rPr>
            </w:pPr>
          </w:p>
          <w:p w14:paraId="57E204BC" w14:textId="77777777" w:rsidR="00C36187" w:rsidRPr="00C36187" w:rsidRDefault="00C36187" w:rsidP="00D800C5">
            <w:pPr>
              <w:pBdr>
                <w:top w:val="nil"/>
                <w:left w:val="nil"/>
                <w:bottom w:val="nil"/>
                <w:right w:val="nil"/>
                <w:between w:val="nil"/>
              </w:pBdr>
              <w:jc w:val="both"/>
              <w:rPr>
                <w:bCs/>
                <w:sz w:val="23"/>
                <w:szCs w:val="23"/>
              </w:rPr>
            </w:pPr>
            <w:r w:rsidRPr="00C36187">
              <w:rPr>
                <w:bCs/>
                <w:sz w:val="23"/>
                <w:szCs w:val="23"/>
              </w:rPr>
              <w:t xml:space="preserve">Interdisciplinary research activities within the </w:t>
            </w:r>
            <w:proofErr w:type="spellStart"/>
            <w:r w:rsidRPr="00C36187">
              <w:rPr>
                <w:bCs/>
                <w:sz w:val="23"/>
                <w:szCs w:val="23"/>
              </w:rPr>
              <w:t>subprogramme</w:t>
            </w:r>
            <w:proofErr w:type="spellEnd"/>
            <w:r w:rsidRPr="00C36187">
              <w:rPr>
                <w:bCs/>
                <w:sz w:val="23"/>
                <w:szCs w:val="23"/>
              </w:rPr>
              <w:t xml:space="preserve"> continued along three complementary thematic directions. </w:t>
            </w:r>
            <w:r w:rsidRPr="00C36187">
              <w:rPr>
                <w:b/>
                <w:bCs/>
                <w:i/>
                <w:iCs/>
                <w:sz w:val="23"/>
                <w:szCs w:val="23"/>
              </w:rPr>
              <w:t>Direction 1. Construction and Real Estate Development</w:t>
            </w:r>
            <w:r w:rsidRPr="00C36187">
              <w:rPr>
                <w:b/>
                <w:bCs/>
                <w:sz w:val="23"/>
                <w:szCs w:val="23"/>
              </w:rPr>
              <w:t xml:space="preserve">. </w:t>
            </w:r>
            <w:r w:rsidRPr="00C36187">
              <w:rPr>
                <w:bCs/>
                <w:sz w:val="23"/>
                <w:szCs w:val="23"/>
              </w:rPr>
              <w:t xml:space="preserve">The research provided an </w:t>
            </w:r>
            <w:r w:rsidRPr="00C36187">
              <w:rPr>
                <w:bCs/>
                <w:sz w:val="23"/>
                <w:szCs w:val="23"/>
              </w:rPr>
              <w:lastRenderedPageBreak/>
              <w:t>applied assessment of sustainable development solutions in the construction sector of the Republic of Moldova, with a focus on energy efficiency, resource management, and the protection of the built heritage. The results confirmed that the rehabilitation of the existing building stock through modern technical measures can lead to reduced energy consumption and environmental impact, while simultaneously increasing energy autonomy. Analyses of construction and demolition waste highlighted the potential of recycling and reuse to support the circular economy and to reduce pressure on natural resources. Studies on green certificates demonstrated their usefulness in increasing the transparency of environmental performance and in aligning national practices with international standards.</w:t>
            </w:r>
          </w:p>
          <w:p w14:paraId="14DC84A1" w14:textId="77777777" w:rsidR="00C36187" w:rsidRPr="00C36187" w:rsidRDefault="00C36187" w:rsidP="00D800C5">
            <w:pPr>
              <w:pBdr>
                <w:top w:val="nil"/>
                <w:left w:val="nil"/>
                <w:bottom w:val="nil"/>
                <w:right w:val="nil"/>
                <w:between w:val="nil"/>
              </w:pBdr>
              <w:jc w:val="both"/>
              <w:rPr>
                <w:bCs/>
                <w:sz w:val="23"/>
                <w:szCs w:val="23"/>
              </w:rPr>
            </w:pPr>
            <w:r w:rsidRPr="00C36187">
              <w:rPr>
                <w:bCs/>
                <w:sz w:val="23"/>
                <w:szCs w:val="23"/>
              </w:rPr>
              <w:t xml:space="preserve">The legal component of the research identified structural shortcomings in the real estate regulatory framework, including procedural ambiguities, uneven application of legal mechanisms, and divergent interpretations of legal institutions, with negative effects on legal certainty and transaction predictability. A cross-cutting outcome of the research is the substantiation of the need for an integrated approach to the protection of cultural real estate heritage, through the correlation of legal, economic, and social dimensions. In the field of real estate valuation and management, the research revealed standardization problems, difficulties in aligning valuation practices with market dynamics, and insufficient integration of macroeconomic factors, which increase risks in loan collateralization and financial reporting. As an applied response, three methodological guidelines were developed, aimed at harmonizing practices and reducing methodological discrepancies. </w:t>
            </w:r>
            <w:r w:rsidRPr="00C36187">
              <w:rPr>
                <w:b/>
                <w:bCs/>
                <w:i/>
                <w:iCs/>
                <w:sz w:val="23"/>
                <w:szCs w:val="23"/>
              </w:rPr>
              <w:t>Direction 2. Industry, Economic Engineering, and Agricultural Economics</w:t>
            </w:r>
            <w:r w:rsidRPr="00C36187">
              <w:rPr>
                <w:b/>
                <w:bCs/>
                <w:sz w:val="23"/>
                <w:szCs w:val="23"/>
              </w:rPr>
              <w:t xml:space="preserve">. </w:t>
            </w:r>
            <w:r w:rsidRPr="00C36187">
              <w:rPr>
                <w:bCs/>
                <w:sz w:val="23"/>
                <w:szCs w:val="23"/>
              </w:rPr>
              <w:t xml:space="preserve">The research supported the transition toward a circular economy through diagnostic tools, analytical approaches, and strategic guidance. The application of a comprehensive questionnaire within the Erasmus+ </w:t>
            </w:r>
            <w:proofErr w:type="spellStart"/>
            <w:r w:rsidRPr="00C36187">
              <w:rPr>
                <w:bCs/>
                <w:sz w:val="23"/>
                <w:szCs w:val="23"/>
              </w:rPr>
              <w:t>PubCirEco</w:t>
            </w:r>
            <w:proofErr w:type="spellEnd"/>
            <w:r w:rsidRPr="00C36187">
              <w:rPr>
                <w:bCs/>
                <w:sz w:val="23"/>
                <w:szCs w:val="23"/>
              </w:rPr>
              <w:t xml:space="preserve"> project enabled the assessment of the level of understanding and implementation of circular economy principles in public and private institutions, and the collected data formed the basis for an analytical study and recommendations for policy measures and training </w:t>
            </w:r>
            <w:proofErr w:type="spellStart"/>
            <w:r w:rsidRPr="00C36187">
              <w:rPr>
                <w:bCs/>
                <w:sz w:val="23"/>
                <w:szCs w:val="23"/>
              </w:rPr>
              <w:t>programmes</w:t>
            </w:r>
            <w:proofErr w:type="spellEnd"/>
            <w:r w:rsidRPr="00C36187">
              <w:rPr>
                <w:bCs/>
                <w:sz w:val="23"/>
                <w:szCs w:val="23"/>
              </w:rPr>
              <w:t xml:space="preserve">. In parallel, the results contributed to educational modernization through the development of a master’s course dedicated to circular economy measures and indicators. Applied scientific contributions included advanced research on circular business models in the </w:t>
            </w:r>
            <w:proofErr w:type="spellStart"/>
            <w:r w:rsidRPr="00C36187">
              <w:rPr>
                <w:bCs/>
                <w:sz w:val="23"/>
                <w:szCs w:val="23"/>
              </w:rPr>
              <w:t>vitiviniculture</w:t>
            </w:r>
            <w:proofErr w:type="spellEnd"/>
            <w:r w:rsidRPr="00C36187">
              <w:rPr>
                <w:bCs/>
                <w:sz w:val="23"/>
                <w:szCs w:val="23"/>
              </w:rPr>
              <w:t xml:space="preserve"> sector and analyses of agricultural value chains, which identified opportunities for improved resource efficiency and loss reduction. At the same time, emerging requirements associated with EU harmonization—such as sustainability reporting, waste management, energy transition, and green instruments—were systematized, outlining an adaptation framework for the institutional and economic environment. </w:t>
            </w:r>
            <w:r w:rsidRPr="00C36187">
              <w:rPr>
                <w:b/>
                <w:bCs/>
                <w:i/>
                <w:iCs/>
                <w:sz w:val="23"/>
                <w:szCs w:val="23"/>
              </w:rPr>
              <w:t>Direction 3. Textiles and Printing</w:t>
            </w:r>
            <w:r w:rsidRPr="00C36187">
              <w:rPr>
                <w:b/>
                <w:bCs/>
                <w:sz w:val="23"/>
                <w:szCs w:val="23"/>
              </w:rPr>
              <w:t xml:space="preserve">. </w:t>
            </w:r>
            <w:r w:rsidRPr="00C36187">
              <w:rPr>
                <w:bCs/>
                <w:sz w:val="23"/>
                <w:szCs w:val="23"/>
              </w:rPr>
              <w:t xml:space="preserve">The research assessed the integration of sustainable development principles into the national regulatory framework and the degree of harmonization with the EU acquis in the textile and printing sectors, identifying both progress and persistent inconsistencies and fragmentation that limit coherent implementation. The study of sustainable practices in textile companies confirmed the effectiveness of transition through responsible manufacturing (eco-friendly materials, innovative technologies, and ethical practices) and highlighted the decisive role of digitalization in improving efficiency and reducing waste, including waste reduction through digital design and production technologies. In the printing sector, the research emphasized the relevance of packaging regulations and Extended Producer Responsibility mechanisms for recycling, waste reduction, and the use of renewable materials, as well as the need to redesign design and production processes according to circular logic. The analysis of the applicability of circular economy principles confirmed the viability of collection, reuse, and reverse logistics models and highlighted the innovation potential of packaging solutions. Professional training activities (CLO 3D, </w:t>
            </w:r>
            <w:proofErr w:type="spellStart"/>
            <w:r w:rsidRPr="00C36187">
              <w:rPr>
                <w:bCs/>
                <w:sz w:val="23"/>
                <w:szCs w:val="23"/>
              </w:rPr>
              <w:t>GeminiCAD</w:t>
            </w:r>
            <w:proofErr w:type="spellEnd"/>
            <w:r w:rsidRPr="00C36187">
              <w:rPr>
                <w:bCs/>
                <w:sz w:val="23"/>
                <w:szCs w:val="23"/>
              </w:rPr>
              <w:t>) generated applied results by strengthening virtual prototyping and digital design competencies, with a direct effect on reducing material consumption and waste generation.</w:t>
            </w:r>
          </w:p>
        </w:tc>
      </w:tr>
    </w:tbl>
    <w:p w14:paraId="449B9A8F" w14:textId="77777777" w:rsidR="00573DB3" w:rsidRDefault="00573DB3" w:rsidP="00573DB3">
      <w:pPr>
        <w:spacing w:line="276" w:lineRule="auto"/>
        <w:rPr>
          <w:lang w:val="ro-RO"/>
        </w:rPr>
      </w:pPr>
    </w:p>
    <w:p w14:paraId="199653D2" w14:textId="57A3DE7F" w:rsidR="00573DB3" w:rsidRPr="00D61877" w:rsidRDefault="00573DB3" w:rsidP="00573DB3">
      <w:pPr>
        <w:spacing w:line="276" w:lineRule="auto"/>
        <w:rPr>
          <w:color w:val="FF0000"/>
          <w:lang w:val="ro-RO"/>
        </w:rPr>
      </w:pPr>
      <w:r w:rsidRPr="00D61877">
        <w:rPr>
          <w:lang w:val="ro-RO"/>
        </w:rPr>
        <w:t xml:space="preserve">Coordonatorul subprogramului                             </w:t>
      </w:r>
    </w:p>
    <w:p w14:paraId="371A6E57" w14:textId="3C93F77A" w:rsidR="00573DB3" w:rsidRPr="00573DB3" w:rsidRDefault="00573DB3" w:rsidP="00573DB3">
      <w:pPr>
        <w:spacing w:after="120" w:line="276" w:lineRule="auto"/>
        <w:rPr>
          <w:strike/>
          <w:sz w:val="18"/>
          <w:szCs w:val="18"/>
          <w:lang w:val="ro-RO"/>
        </w:rPr>
      </w:pPr>
      <w:r w:rsidRPr="00D61877">
        <w:rPr>
          <w:lang w:val="ro-RO"/>
        </w:rPr>
        <w:t>de cercetare</w:t>
      </w:r>
      <w:r w:rsidRPr="00D61877">
        <w:rPr>
          <w:color w:val="FF0000"/>
          <w:lang w:val="ro-RO"/>
        </w:rPr>
        <w:t xml:space="preserve"> </w:t>
      </w:r>
      <w:r w:rsidRPr="00D61877">
        <w:rPr>
          <w:color w:val="FF0000"/>
          <w:lang w:val="ro-RO"/>
        </w:rPr>
        <w:tab/>
      </w:r>
      <w:r w:rsidRPr="00D61877">
        <w:rPr>
          <w:color w:val="FF0000"/>
          <w:lang w:val="ro-RO"/>
        </w:rPr>
        <w:tab/>
      </w:r>
      <w:r w:rsidRPr="00D61877">
        <w:rPr>
          <w:color w:val="FF0000"/>
          <w:lang w:val="ro-RO"/>
        </w:rPr>
        <w:tab/>
        <w:t xml:space="preserve">           </w:t>
      </w:r>
      <w:r w:rsidRPr="00D61877">
        <w:rPr>
          <w:color w:val="FF0000"/>
          <w:lang w:val="ro-RO"/>
        </w:rPr>
        <w:tab/>
        <w:t xml:space="preserve">       </w:t>
      </w:r>
      <w:r w:rsidRPr="00D61877">
        <w:rPr>
          <w:lang w:val="ro-RO"/>
        </w:rPr>
        <w:t>________</w:t>
      </w:r>
      <w:r w:rsidRPr="00433936">
        <w:rPr>
          <w:lang w:val="ro-RO"/>
        </w:rPr>
        <w:t xml:space="preserve"> </w:t>
      </w:r>
      <w:r>
        <w:rPr>
          <w:lang w:val="ro-RO"/>
        </w:rPr>
        <w:t>Albu Svetlana</w:t>
      </w:r>
      <w:r w:rsidRPr="00D61877">
        <w:rPr>
          <w:lang w:val="ro-RO"/>
        </w:rPr>
        <w:t xml:space="preserve"> ________           ________</w:t>
      </w:r>
      <w:r w:rsidRPr="00D61877">
        <w:rPr>
          <w:color w:val="FF0000"/>
          <w:lang w:val="ro-RO"/>
        </w:rPr>
        <w:tab/>
      </w:r>
      <w:r>
        <w:rPr>
          <w:color w:val="FF0000"/>
          <w:lang w:val="ro-RO"/>
        </w:rPr>
        <w:tab/>
      </w:r>
      <w:r w:rsidRPr="00573DB3">
        <w:rPr>
          <w:color w:val="FF0000"/>
          <w:sz w:val="18"/>
          <w:szCs w:val="18"/>
          <w:lang w:val="ro-RO"/>
        </w:rPr>
        <w:tab/>
      </w:r>
      <w:r w:rsidRPr="00573DB3">
        <w:rPr>
          <w:color w:val="FF0000"/>
          <w:sz w:val="18"/>
          <w:szCs w:val="18"/>
          <w:lang w:val="ro-RO"/>
        </w:rPr>
        <w:tab/>
        <w:t xml:space="preserve">                   </w:t>
      </w:r>
      <w:r w:rsidRPr="00573DB3">
        <w:rPr>
          <w:color w:val="FF0000"/>
          <w:sz w:val="18"/>
          <w:szCs w:val="18"/>
          <w:lang w:val="ro-RO"/>
        </w:rPr>
        <w:tab/>
      </w:r>
      <w:r w:rsidRPr="00573DB3">
        <w:rPr>
          <w:color w:val="FF0000"/>
          <w:sz w:val="18"/>
          <w:szCs w:val="18"/>
          <w:lang w:val="ro-RO"/>
        </w:rPr>
        <w:tab/>
        <w:t xml:space="preserve">    </w:t>
      </w:r>
      <w:r w:rsidRPr="00573DB3">
        <w:rPr>
          <w:sz w:val="18"/>
          <w:szCs w:val="18"/>
          <w:lang w:val="ro-RO"/>
        </w:rPr>
        <w:t xml:space="preserve">(numele, prenumele) </w:t>
      </w:r>
      <w:r w:rsidRPr="00573DB3">
        <w:rPr>
          <w:sz w:val="18"/>
          <w:szCs w:val="18"/>
          <w:lang w:val="ro-RO"/>
        </w:rPr>
        <w:tab/>
      </w:r>
      <w:r w:rsidRPr="00573DB3">
        <w:rPr>
          <w:sz w:val="18"/>
          <w:szCs w:val="18"/>
          <w:lang w:val="ro-RO"/>
        </w:rPr>
        <w:tab/>
        <w:t xml:space="preserve">        (semnătura)</w:t>
      </w:r>
      <w:r w:rsidRPr="00573DB3">
        <w:rPr>
          <w:strike/>
          <w:sz w:val="18"/>
          <w:szCs w:val="18"/>
          <w:lang w:val="ro-RO"/>
        </w:rPr>
        <w:t xml:space="preserve"> </w:t>
      </w:r>
    </w:p>
    <w:p w14:paraId="0C07CB49" w14:textId="77777777" w:rsidR="00573DB3" w:rsidRPr="00D61877" w:rsidRDefault="00573DB3" w:rsidP="00573DB3">
      <w:pPr>
        <w:spacing w:after="120" w:line="276" w:lineRule="auto"/>
        <w:rPr>
          <w:lang w:val="ro-RO" w:eastAsia="ru-RU"/>
        </w:rPr>
      </w:pPr>
      <w:r w:rsidRPr="00D61877">
        <w:rPr>
          <w:lang w:val="ro-RO" w:eastAsia="ru-RU"/>
        </w:rPr>
        <w:t xml:space="preserve">Data: _________________ </w:t>
      </w:r>
    </w:p>
    <w:p w14:paraId="7AE31B35" w14:textId="77777777" w:rsidR="006618AE" w:rsidRDefault="006618AE" w:rsidP="00C36187"/>
    <w:sectPr w:rsidR="006618AE" w:rsidSect="00573DB3">
      <w:pgSz w:w="12240" w:h="15840"/>
      <w:pgMar w:top="1134"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87"/>
    <w:rsid w:val="001011E5"/>
    <w:rsid w:val="00461923"/>
    <w:rsid w:val="00573DB3"/>
    <w:rsid w:val="006618AE"/>
    <w:rsid w:val="00841714"/>
    <w:rsid w:val="009C4787"/>
    <w:rsid w:val="00C14833"/>
    <w:rsid w:val="00C3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6B66"/>
  <w15:chartTrackingRefBased/>
  <w15:docId w15:val="{2E78554E-1F1B-42B9-A963-61B559D5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18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3618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C3618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C3618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C3618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RO"/>
      <w14:ligatures w14:val="standardContextual"/>
    </w:rPr>
  </w:style>
  <w:style w:type="paragraph" w:styleId="Heading5">
    <w:name w:val="heading 5"/>
    <w:basedOn w:val="Normal"/>
    <w:next w:val="Normal"/>
    <w:link w:val="Heading5Char"/>
    <w:uiPriority w:val="9"/>
    <w:semiHidden/>
    <w:unhideWhenUsed/>
    <w:qFormat/>
    <w:rsid w:val="00C3618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RO"/>
      <w14:ligatures w14:val="standardContextual"/>
    </w:rPr>
  </w:style>
  <w:style w:type="paragraph" w:styleId="Heading6">
    <w:name w:val="heading 6"/>
    <w:basedOn w:val="Normal"/>
    <w:next w:val="Normal"/>
    <w:link w:val="Heading6Char"/>
    <w:uiPriority w:val="9"/>
    <w:semiHidden/>
    <w:unhideWhenUsed/>
    <w:qFormat/>
    <w:rsid w:val="00C3618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Heading7">
    <w:name w:val="heading 7"/>
    <w:basedOn w:val="Normal"/>
    <w:next w:val="Normal"/>
    <w:link w:val="Heading7Char"/>
    <w:uiPriority w:val="9"/>
    <w:semiHidden/>
    <w:unhideWhenUsed/>
    <w:qFormat/>
    <w:rsid w:val="00C3618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Heading8">
    <w:name w:val="heading 8"/>
    <w:basedOn w:val="Normal"/>
    <w:next w:val="Normal"/>
    <w:link w:val="Heading8Char"/>
    <w:uiPriority w:val="9"/>
    <w:semiHidden/>
    <w:unhideWhenUsed/>
    <w:qFormat/>
    <w:rsid w:val="00C3618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Heading9">
    <w:name w:val="heading 9"/>
    <w:basedOn w:val="Normal"/>
    <w:next w:val="Normal"/>
    <w:link w:val="Heading9Char"/>
    <w:uiPriority w:val="9"/>
    <w:semiHidden/>
    <w:unhideWhenUsed/>
    <w:qFormat/>
    <w:rsid w:val="00C3618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187"/>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36187"/>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36187"/>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36187"/>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C36187"/>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C36187"/>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C36187"/>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C36187"/>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C36187"/>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C36187"/>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C36187"/>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C361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C36187"/>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C3618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QuoteChar">
    <w:name w:val="Quote Char"/>
    <w:basedOn w:val="DefaultParagraphFont"/>
    <w:link w:val="Quote"/>
    <w:uiPriority w:val="29"/>
    <w:rsid w:val="00C36187"/>
    <w:rPr>
      <w:i/>
      <w:iCs/>
      <w:color w:val="404040" w:themeColor="text1" w:themeTint="BF"/>
      <w:lang w:val="ro-RO"/>
    </w:rPr>
  </w:style>
  <w:style w:type="paragraph" w:styleId="ListParagraph">
    <w:name w:val="List Paragraph"/>
    <w:basedOn w:val="Normal"/>
    <w:uiPriority w:val="34"/>
    <w:qFormat/>
    <w:rsid w:val="00C36187"/>
    <w:pPr>
      <w:spacing w:after="160" w:line="259" w:lineRule="auto"/>
      <w:ind w:left="720"/>
      <w:contextualSpacing/>
    </w:pPr>
    <w:rPr>
      <w:rFonts w:asciiTheme="minorHAnsi" w:eastAsiaTheme="minorHAnsi" w:hAnsiTheme="minorHAnsi" w:cstheme="minorBidi"/>
      <w:kern w:val="2"/>
      <w:sz w:val="22"/>
      <w:szCs w:val="22"/>
      <w:lang w:val="ro-RO"/>
      <w14:ligatures w14:val="standardContextual"/>
    </w:rPr>
  </w:style>
  <w:style w:type="character" w:styleId="IntenseEmphasis">
    <w:name w:val="Intense Emphasis"/>
    <w:basedOn w:val="DefaultParagraphFont"/>
    <w:uiPriority w:val="21"/>
    <w:qFormat/>
    <w:rsid w:val="00C36187"/>
    <w:rPr>
      <w:i/>
      <w:iCs/>
      <w:color w:val="2F5496" w:themeColor="accent1" w:themeShade="BF"/>
    </w:rPr>
  </w:style>
  <w:style w:type="paragraph" w:styleId="IntenseQuote">
    <w:name w:val="Intense Quote"/>
    <w:basedOn w:val="Normal"/>
    <w:next w:val="Normal"/>
    <w:link w:val="IntenseQuoteChar"/>
    <w:uiPriority w:val="30"/>
    <w:qFormat/>
    <w:rsid w:val="00C3618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RO"/>
      <w14:ligatures w14:val="standardContextual"/>
    </w:rPr>
  </w:style>
  <w:style w:type="character" w:customStyle="1" w:styleId="IntenseQuoteChar">
    <w:name w:val="Intense Quote Char"/>
    <w:basedOn w:val="DefaultParagraphFont"/>
    <w:link w:val="IntenseQuote"/>
    <w:uiPriority w:val="30"/>
    <w:rsid w:val="00C36187"/>
    <w:rPr>
      <w:i/>
      <w:iCs/>
      <w:color w:val="2F5496" w:themeColor="accent1" w:themeShade="BF"/>
      <w:lang w:val="ro-RO"/>
    </w:rPr>
  </w:style>
  <w:style w:type="character" w:styleId="IntenseReference">
    <w:name w:val="Intense Reference"/>
    <w:basedOn w:val="DefaultParagraphFont"/>
    <w:uiPriority w:val="32"/>
    <w:qFormat/>
    <w:rsid w:val="00C36187"/>
    <w:rPr>
      <w:b/>
      <w:bCs/>
      <w:smallCaps/>
      <w:color w:val="2F5496" w:themeColor="accent1" w:themeShade="BF"/>
      <w:spacing w:val="5"/>
    </w:rPr>
  </w:style>
  <w:style w:type="paragraph" w:styleId="NoSpacing">
    <w:name w:val="No Spacing"/>
    <w:link w:val="NoSpacingChar"/>
    <w:uiPriority w:val="1"/>
    <w:qFormat/>
    <w:rsid w:val="00C36187"/>
    <w:pPr>
      <w:widowControl w:val="0"/>
      <w:spacing w:after="0" w:line="240" w:lineRule="auto"/>
    </w:pPr>
    <w:rPr>
      <w:rFonts w:ascii="Microsoft Sans Serif" w:eastAsia="Microsoft Sans Serif" w:hAnsi="Microsoft Sans Serif" w:cs="Microsoft Sans Serif"/>
      <w:color w:val="000000"/>
      <w:kern w:val="0"/>
      <w:sz w:val="24"/>
      <w:szCs w:val="24"/>
      <w:lang w:val="ro-RO" w:eastAsia="ro-RO" w:bidi="ro-RO"/>
      <w14:ligatures w14:val="none"/>
    </w:rPr>
  </w:style>
  <w:style w:type="character" w:customStyle="1" w:styleId="NoSpacingChar">
    <w:name w:val="No Spacing Char"/>
    <w:link w:val="NoSpacing"/>
    <w:uiPriority w:val="1"/>
    <w:locked/>
    <w:rsid w:val="00C36187"/>
    <w:rPr>
      <w:rFonts w:ascii="Microsoft Sans Serif" w:eastAsia="Microsoft Sans Serif" w:hAnsi="Microsoft Sans Serif" w:cs="Microsoft Sans Serif"/>
      <w:color w:val="000000"/>
      <w:kern w:val="0"/>
      <w:sz w:val="24"/>
      <w:szCs w:val="24"/>
      <w:lang w:val="ro-RO"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1407</Words>
  <Characters>8167</Characters>
  <Application>Microsoft Office Word</Application>
  <DocSecurity>0</DocSecurity>
  <Lines>68</Lines>
  <Paragraphs>19</Paragraphs>
  <ScaleCrop>false</ScaleCrop>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dc:creator>
  <cp:keywords/>
  <dc:description/>
  <cp:lastModifiedBy>Eduard</cp:lastModifiedBy>
  <cp:revision>2</cp:revision>
  <dcterms:created xsi:type="dcterms:W3CDTF">2026-01-28T07:31:00Z</dcterms:created>
  <dcterms:modified xsi:type="dcterms:W3CDTF">2026-01-29T21:33:00Z</dcterms:modified>
</cp:coreProperties>
</file>