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42D6" w14:textId="77777777" w:rsidR="00171475" w:rsidRPr="00D522C5" w:rsidRDefault="00171475" w:rsidP="00171475">
      <w:pPr>
        <w:keepNext/>
        <w:spacing w:after="120" w:line="276" w:lineRule="auto"/>
        <w:jc w:val="center"/>
        <w:outlineLvl w:val="0"/>
        <w:rPr>
          <w:rFonts w:ascii="Times New Roman" w:hAnsi="Times New Roman"/>
          <w:b/>
          <w:bCs/>
          <w:color w:val="000000" w:themeColor="text1"/>
          <w:kern w:val="32"/>
          <w:sz w:val="24"/>
          <w:szCs w:val="24"/>
          <w:lang w:val="ro-RO"/>
        </w:rPr>
      </w:pPr>
      <w:r w:rsidRPr="00D522C5">
        <w:rPr>
          <w:rFonts w:ascii="Times New Roman" w:hAnsi="Times New Roman"/>
          <w:b/>
          <w:bCs/>
          <w:color w:val="000000" w:themeColor="text1"/>
          <w:kern w:val="32"/>
          <w:sz w:val="24"/>
          <w:szCs w:val="24"/>
          <w:lang w:val="ro-RO"/>
        </w:rPr>
        <w:t xml:space="preserve">Rezumatul activității și a rezultatelor obținute în </w:t>
      </w:r>
      <w:r w:rsidRPr="00D522C5">
        <w:rPr>
          <w:rFonts w:ascii="Times New Roman" w:hAnsi="Times New Roman"/>
          <w:b/>
          <w:color w:val="000000" w:themeColor="text1"/>
          <w:kern w:val="32"/>
          <w:sz w:val="24"/>
          <w:szCs w:val="24"/>
          <w:lang w:val="ro-RO"/>
        </w:rPr>
        <w:t>subprogram</w:t>
      </w:r>
      <w:r w:rsidRPr="00D522C5">
        <w:rPr>
          <w:rFonts w:ascii="Times New Roman" w:hAnsi="Times New Roman"/>
          <w:b/>
          <w:bCs/>
          <w:color w:val="000000" w:themeColor="text1"/>
          <w:kern w:val="32"/>
          <w:sz w:val="24"/>
          <w:szCs w:val="24"/>
          <w:lang w:val="ro-RO"/>
        </w:rPr>
        <w:t xml:space="preserve"> în anul 2025</w:t>
      </w:r>
    </w:p>
    <w:p w14:paraId="1C6FD9D2" w14:textId="77777777" w:rsidR="00171475" w:rsidRPr="00D522C5" w:rsidRDefault="00171475" w:rsidP="00171475">
      <w:pPr>
        <w:spacing w:after="0"/>
        <w:jc w:val="center"/>
        <w:rPr>
          <w:rFonts w:ascii="Times New Roman" w:hAnsi="Times New Roman"/>
          <w:bCs/>
          <w:color w:val="000000" w:themeColor="text1"/>
          <w:sz w:val="24"/>
          <w:szCs w:val="24"/>
          <w:u w:val="single"/>
          <w:lang w:val="ro-RO"/>
        </w:rPr>
      </w:pPr>
      <w:r w:rsidRPr="00D522C5">
        <w:rPr>
          <w:rFonts w:ascii="Times New Roman" w:hAnsi="Times New Roman"/>
          <w:bCs/>
          <w:color w:val="000000" w:themeColor="text1"/>
          <w:sz w:val="24"/>
          <w:szCs w:val="24"/>
          <w:u w:val="single"/>
          <w:lang w:val="ro-RO"/>
        </w:rPr>
        <w:t>Nanostructuri și materiale avansate pentru aplicații în spintronică, termoelectricitate și optoelectronică</w:t>
      </w:r>
    </w:p>
    <w:p w14:paraId="0A040B1C" w14:textId="77777777" w:rsidR="00171475" w:rsidRPr="00D522C5" w:rsidRDefault="00171475" w:rsidP="00171475">
      <w:pPr>
        <w:pStyle w:val="NoSpacing"/>
        <w:spacing w:line="276" w:lineRule="auto"/>
        <w:jc w:val="center"/>
        <w:rPr>
          <w:rFonts w:ascii="Times New Roman" w:hAnsi="Times New Roman"/>
          <w:b/>
          <w:i/>
          <w:color w:val="000000" w:themeColor="text1"/>
          <w:sz w:val="20"/>
        </w:rPr>
      </w:pPr>
      <w:r w:rsidRPr="00D522C5">
        <w:rPr>
          <w:rFonts w:ascii="Times New Roman" w:hAnsi="Times New Roman"/>
          <w:b/>
          <w:i/>
          <w:color w:val="000000" w:themeColor="text1"/>
          <w:sz w:val="20"/>
        </w:rPr>
        <w:t>(denumirea subprogramului)</w:t>
      </w:r>
    </w:p>
    <w:p w14:paraId="582ADF07" w14:textId="77777777" w:rsidR="00171475" w:rsidRPr="00D522C5" w:rsidRDefault="00171475" w:rsidP="00171475">
      <w:pPr>
        <w:spacing w:after="0" w:line="360" w:lineRule="auto"/>
        <w:rPr>
          <w:rFonts w:ascii="Times New Roman" w:hAnsi="Times New Roman"/>
          <w:b/>
          <w:color w:val="000000" w:themeColor="text1"/>
          <w:sz w:val="24"/>
          <w:szCs w:val="24"/>
          <w:lang w:val="ro-RO"/>
        </w:rPr>
      </w:pPr>
      <w:r w:rsidRPr="00D522C5">
        <w:rPr>
          <w:rFonts w:ascii="Times New Roman" w:hAnsi="Times New Roman"/>
          <w:b/>
          <w:color w:val="000000" w:themeColor="text1"/>
          <w:sz w:val="24"/>
          <w:szCs w:val="24"/>
          <w:lang w:val="ro-RO"/>
        </w:rPr>
        <w:t xml:space="preserve">Codul </w:t>
      </w:r>
      <w:r w:rsidRPr="00D522C5">
        <w:rPr>
          <w:rFonts w:ascii="Times New Roman" w:hAnsi="Times New Roman"/>
          <w:b/>
          <w:color w:val="000000" w:themeColor="text1"/>
          <w:kern w:val="2"/>
          <w:sz w:val="24"/>
          <w:szCs w:val="24"/>
          <w:lang w:val="ro-RO"/>
        </w:rPr>
        <w:t>subprogram</w:t>
      </w:r>
      <w:r w:rsidRPr="00D522C5">
        <w:rPr>
          <w:rFonts w:ascii="Times New Roman" w:hAnsi="Times New Roman"/>
          <w:b/>
          <w:color w:val="000000" w:themeColor="text1"/>
          <w:sz w:val="24"/>
          <w:szCs w:val="24"/>
          <w:lang w:val="ro-RO"/>
        </w:rPr>
        <w:t xml:space="preserve">ului </w:t>
      </w:r>
      <w:r w:rsidRPr="00D522C5">
        <w:rPr>
          <w:rFonts w:ascii="Times New Roman" w:hAnsi="Times New Roman"/>
          <w:b/>
          <w:color w:val="000000" w:themeColor="text1"/>
          <w:sz w:val="24"/>
          <w:szCs w:val="24"/>
          <w:u w:val="single"/>
          <w:lang w:val="ro-RO"/>
        </w:rPr>
        <w:t>020201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171475" w:rsidRPr="00D522C5" w14:paraId="3B90CAB2" w14:textId="77777777" w:rsidTr="00584D0F">
        <w:tc>
          <w:tcPr>
            <w:tcW w:w="9558" w:type="dxa"/>
          </w:tcPr>
          <w:p w14:paraId="7FBAEFAC" w14:textId="77777777" w:rsidR="00171475" w:rsidRPr="00D522C5" w:rsidRDefault="00171475" w:rsidP="00584D0F">
            <w:pPr>
              <w:pBdr>
                <w:top w:val="nil"/>
                <w:left w:val="nil"/>
                <w:bottom w:val="nil"/>
                <w:right w:val="nil"/>
                <w:between w:val="nil"/>
              </w:pBdr>
              <w:spacing w:after="0" w:line="276" w:lineRule="auto"/>
              <w:jc w:val="both"/>
              <w:rPr>
                <w:rFonts w:ascii="Times New Roman" w:eastAsia="Times New Roman" w:hAnsi="Times New Roman"/>
                <w:b/>
                <w:bCs/>
                <w:color w:val="000000" w:themeColor="text1"/>
                <w:sz w:val="24"/>
                <w:szCs w:val="24"/>
                <w:lang w:val="ro-RO"/>
              </w:rPr>
            </w:pPr>
            <w:r w:rsidRPr="00D522C5">
              <w:rPr>
                <w:rFonts w:ascii="Times New Roman" w:eastAsia="Times New Roman" w:hAnsi="Times New Roman"/>
                <w:b/>
                <w:bCs/>
                <w:color w:val="000000" w:themeColor="text1"/>
                <w:sz w:val="24"/>
                <w:szCs w:val="24"/>
                <w:lang w:val="ro-RO"/>
              </w:rPr>
              <w:t>Pentru anul 2025 1 pagină</w:t>
            </w:r>
          </w:p>
          <w:p w14:paraId="41899B69"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ro-RO"/>
              </w:rPr>
            </w:pPr>
            <w:r w:rsidRPr="00D522C5">
              <w:rPr>
                <w:rFonts w:ascii="Times New Roman" w:hAnsi="Times New Roman"/>
                <w:bCs/>
                <w:color w:val="000000" w:themeColor="text1"/>
                <w:sz w:val="24"/>
                <w:szCs w:val="24"/>
                <w:lang w:val="ro-RO"/>
              </w:rPr>
              <w:t>Pe parcursul anului 2025, cercetătorii Institutului de Inginerie Electronică și Nanotehnologii „D. Ghițu” al Universității Tehnice a Moldovei au realizat integral obiectivele stabilite în cadrul proiectelor instituționale. Rezultatele activităților de cercetare au fost prezentate în seminare interne, conferințe naționale și internaționale și publicate în reviste științifice cu factor de impact, contribuind semnificativ la dezvoltarea domeniului materialelor avansate și nanotehnologiilor.</w:t>
            </w:r>
          </w:p>
          <w:p w14:paraId="571BE3C9" w14:textId="77777777" w:rsidR="00171475" w:rsidRPr="00E16C18"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it-IT"/>
              </w:rPr>
            </w:pPr>
            <w:r w:rsidRPr="00E16C18">
              <w:rPr>
                <w:rFonts w:ascii="Times New Roman" w:hAnsi="Times New Roman"/>
                <w:bCs/>
                <w:color w:val="000000" w:themeColor="text1"/>
                <w:sz w:val="24"/>
                <w:szCs w:val="24"/>
                <w:lang w:val="ro-RO"/>
              </w:rPr>
              <w:t xml:space="preserve">Un domeniu important al cercetărilor a vizat obținerea și caracterizarea filmelor subțiri de Ga₂O₃ prin metoda spray-piroliză. Au fost analizate filme nedopate și filme dopate cu Sn și Al, supuse tratamentelor termice la 800 °C și 930 °C. Studiile morfologice realizate prin microscopie de forță atomică au evidențiat influența dopării și temperaturii asupra rugozității și proprietăților de umectare. </w:t>
            </w:r>
            <w:r w:rsidRPr="00E16C18">
              <w:rPr>
                <w:rFonts w:ascii="Times New Roman" w:hAnsi="Times New Roman"/>
                <w:bCs/>
                <w:color w:val="000000" w:themeColor="text1"/>
                <w:sz w:val="24"/>
                <w:szCs w:val="24"/>
                <w:lang w:val="it-IT"/>
              </w:rPr>
              <w:t>Filmele dopate cu Al au prezentat cele mai mari valori ale rugozității, în timp ce doparea cu Sn a condus la suprafețe mai netede. Creșterea temperaturii de tratare termică a redus semnificativ rugozitatea pentru probele nedopate și cele dopate cu Sn. Analiza proprietăților optice a arătat valori ale benzii interzise optice în intervalul 4,55–4,60 eV, ușor mai mici decât valoarea teoretică a Ga₂O₃, fenomen explicat prin apariția stărilor de tip „cozi de bandă”. Au fost realizate și filme subțiri de oxid de cupru (CuO) prin spray-piroliză, cu grosimi între 180 și 580 nm. Rezultatele au demonstrat o corelație clară între grosime, rugozitate, hidrofobicitate și proprietățile electrice, evidențiind creșterea curentului electric și reducerea rezistenței specifice. Analizele XRD au confirmat formarea fazei monoclinice stabile de CuO. Pentru comparație, filmele de CuO obținute prin pulverizare magnetron RF au prezentat o intensificare a caracterului hidrofob și o îmbunătățire a proprietăților structurale după tratament termic, fiind identificate faze cristaline de Cu₂O prin spectroscopie Raman și difracție de raze X. Un alt studiu a fost dedicat filmelor de oxid zinc–staniu (ZnSnO) obținute prin spray-piroliză la diferite durate de depunere. Creșterea grosimii filmelor a condus la modificări structurale și morfologice semnificative, fiind observată o tranziție de la structuri compacte către granule de dimensiuni mai mari. Analiza XRD a evidențiat coexistența fazelor Zn₂SnO₄ și SnO₂, cu stabilizarea preferențială a fazei Zn₂SnO₄ în filmele mai groase, însoțită de reducerea transparenței optice. În domeniul nanostructurilor funcționale, au fost realizate structuri multistrat pe bază de Nb, Co, Fe și CuNi, cu temperaturi critice de tranziție superconductoare între 7,7 K și 8,16 K. Studiile numerice au evidențiat procese complexe de separare stratificată, formarea skyrmionilor magnetici și structuri vortex, confirmând potențialul acestor nanocompozite pentru aplicații în memorii computaționale.</w:t>
            </w:r>
          </w:p>
          <w:p w14:paraId="63FE6B49" w14:textId="77777777" w:rsidR="00171475" w:rsidRPr="00E16C18"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it-IT"/>
              </w:rPr>
            </w:pPr>
            <w:r w:rsidRPr="00E16C18">
              <w:rPr>
                <w:rFonts w:ascii="Times New Roman" w:hAnsi="Times New Roman"/>
                <w:bCs/>
                <w:color w:val="000000" w:themeColor="text1"/>
                <w:sz w:val="24"/>
                <w:szCs w:val="24"/>
                <w:lang w:val="it-IT"/>
              </w:rPr>
              <w:t>Cercetările privind materialele termoelectrice au inclus obținerea straturilor subțiri monocristaline de SnSe dopate cu Ag și Bi, utilizând o tehnologie originală brevetată. Au fost determinate parametrii electrofizici la temperatura camerei, evidențiind valori ridicate ale coeficientului Seebeck și ale factorului de putere, cu perspective pentru conversia eficientă a energiei termice.</w:t>
            </w:r>
          </w:p>
          <w:p w14:paraId="3266C47C"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pt-BR"/>
              </w:rPr>
            </w:pPr>
            <w:r w:rsidRPr="00D522C5">
              <w:rPr>
                <w:rFonts w:ascii="Times New Roman" w:hAnsi="Times New Roman"/>
                <w:bCs/>
                <w:color w:val="000000" w:themeColor="text1"/>
                <w:sz w:val="24"/>
                <w:szCs w:val="24"/>
                <w:lang w:val="pt-BR"/>
              </w:rPr>
              <w:lastRenderedPageBreak/>
              <w:t>De asemenea, a fost elaborată o tehnologie de producere a filmelor de Bi și Bi-Sn cu orientare cristalină controlată, utilizate la realizarea senzorilor anizotropi de flux termic. S-a constatat o constantă de timp de aproximativ 0.2 s pentru toate structurile investigate, fiind identificate soluții tehnologice pentru îmbunătățirea răspunsului dinamic al senzorilor.</w:t>
            </w:r>
          </w:p>
          <w:p w14:paraId="2B8C9148" w14:textId="77777777" w:rsidR="00171475" w:rsidRPr="00801BF8"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pt-BR"/>
              </w:rPr>
            </w:pPr>
            <w:r w:rsidRPr="00801BF8">
              <w:rPr>
                <w:rFonts w:ascii="Times New Roman" w:hAnsi="Times New Roman"/>
                <w:bCs/>
                <w:color w:val="000000" w:themeColor="text1"/>
                <w:sz w:val="24"/>
                <w:szCs w:val="24"/>
                <w:lang w:val="pt-BR"/>
              </w:rPr>
              <w:t>În scopul protecției mediului, a fost dezvoltată o metodă de formare a heterostructurilor de nanoferită ZnFe₂O₄ prin depunere electroforetică. Peliculele obținute prezintă o structură poroasă, o suprafață dezvoltată și proprietăți fotocatalitice eficiente în domeniul vizibil, fiind promițătoare pentru purificarea apelor uzate din industria textilă. Heterostructurile au fost realizate utilizând o suspensie de ZnFe₂O₄ în acetilacetonă, la tensiuni cuprinse între 100–600 V și curenți de 2–50 mA, pe substraturi de sticlă conductivă (ITO). Materialele obținute au grosimi de ordinul micronilor, cristalite cu dimensiunea de 85 ± 2 nm și absorbție intensă în intervalul 450–570 nm.</w:t>
            </w:r>
          </w:p>
          <w:p w14:paraId="4AAE2E87" w14:textId="77777777" w:rsidR="00171475" w:rsidRPr="00801BF8"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pt-BR"/>
              </w:rPr>
            </w:pPr>
            <w:r w:rsidRPr="00801BF8">
              <w:rPr>
                <w:rFonts w:ascii="Times New Roman" w:hAnsi="Times New Roman"/>
                <w:bCs/>
                <w:color w:val="000000" w:themeColor="text1"/>
                <w:sz w:val="24"/>
                <w:szCs w:val="24"/>
                <w:lang w:val="pt-BR"/>
              </w:rPr>
              <w:t>În ansamblu, cercetările desfășurate în anul 2025 au evidențiat un nivel științific avansat, rezultate originale și un potențial ridicat de aplicabilitate în domeniile electronicii, optoelectronicii, energiei și protecției mediului.</w:t>
            </w:r>
          </w:p>
          <w:p w14:paraId="173BD3CD"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lang w:val="pt-BR"/>
              </w:rPr>
            </w:pPr>
          </w:p>
          <w:p w14:paraId="6D392262"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
                <w:bCs/>
                <w:color w:val="000000" w:themeColor="text1"/>
                <w:sz w:val="24"/>
                <w:szCs w:val="24"/>
                <w:lang w:val="ro-RO"/>
              </w:rPr>
            </w:pPr>
            <w:r w:rsidRPr="00D522C5">
              <w:rPr>
                <w:rFonts w:ascii="Times New Roman" w:eastAsia="Times New Roman" w:hAnsi="Times New Roman"/>
                <w:b/>
                <w:bCs/>
                <w:color w:val="000000" w:themeColor="text1"/>
                <w:sz w:val="24"/>
                <w:szCs w:val="24"/>
                <w:lang w:val="ro-RO"/>
              </w:rPr>
              <w:t>For the year 2025 1 page</w:t>
            </w:r>
          </w:p>
          <w:p w14:paraId="43E8EB4F"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rPr>
            </w:pPr>
            <w:r w:rsidRPr="00D522C5">
              <w:rPr>
                <w:rFonts w:ascii="Times New Roman" w:hAnsi="Times New Roman"/>
                <w:bCs/>
                <w:color w:val="000000" w:themeColor="text1"/>
                <w:sz w:val="24"/>
                <w:szCs w:val="24"/>
              </w:rPr>
              <w:t xml:space="preserve">During 2025, the researchers of the Institute of Electronic Engineering and Nanotechnologies “D. </w:t>
            </w:r>
            <w:proofErr w:type="spellStart"/>
            <w:r w:rsidRPr="00D522C5">
              <w:rPr>
                <w:rFonts w:ascii="Times New Roman" w:hAnsi="Times New Roman"/>
                <w:bCs/>
                <w:color w:val="000000" w:themeColor="text1"/>
                <w:sz w:val="24"/>
                <w:szCs w:val="24"/>
              </w:rPr>
              <w:t>Ghițu</w:t>
            </w:r>
            <w:proofErr w:type="spellEnd"/>
            <w:r w:rsidRPr="00D522C5">
              <w:rPr>
                <w:rFonts w:ascii="Times New Roman" w:hAnsi="Times New Roman"/>
                <w:bCs/>
                <w:color w:val="000000" w:themeColor="text1"/>
                <w:sz w:val="24"/>
                <w:szCs w:val="24"/>
              </w:rPr>
              <w:t xml:space="preserve">” of the Technical University of Moldova successfully accomplished all objectives established within the institutional research projects. The obtained scientific results were disseminated through internal seminars, national and international conferences, and published in peer-reviewed journals and scientific proceedings with impact factor, ensuring high scientific visibility. A significant part of the research focused on the fabrication and characterization of </w:t>
            </w:r>
            <w:proofErr w:type="spellStart"/>
            <w:r w:rsidRPr="00D522C5">
              <w:rPr>
                <w:rFonts w:ascii="Times New Roman" w:hAnsi="Times New Roman"/>
                <w:bCs/>
                <w:color w:val="000000" w:themeColor="text1"/>
                <w:sz w:val="24"/>
                <w:szCs w:val="24"/>
              </w:rPr>
              <w:t>Ga₂O</w:t>
            </w:r>
            <w:proofErr w:type="spellEnd"/>
            <w:r w:rsidRPr="00D522C5">
              <w:rPr>
                <w:rFonts w:ascii="Times New Roman" w:hAnsi="Times New Roman"/>
                <w:bCs/>
                <w:color w:val="000000" w:themeColor="text1"/>
                <w:sz w:val="24"/>
                <w:szCs w:val="24"/>
              </w:rPr>
              <w:t xml:space="preserve">₃ thin films prepared by the spray pyrolysis technique. Undoped films as well as films doped with 3% Sn and Al were deposited and thermally treated at 800 °C and 930 °C. Atomic force microscopy revealed a strong influence of doping and annealing temperature on surface morphology and wettability. Al-doped films exhibited the highest surface roughness, while Sn-doped films demonstrated reduced roughness. Increasing the annealing temperature led to a notable decrease in roughness for undoped and Sn-doped samples. Optical absorption studies using the </w:t>
            </w:r>
            <w:proofErr w:type="spellStart"/>
            <w:r w:rsidRPr="00D522C5">
              <w:rPr>
                <w:rFonts w:ascii="Times New Roman" w:hAnsi="Times New Roman"/>
                <w:bCs/>
                <w:color w:val="000000" w:themeColor="text1"/>
                <w:sz w:val="24"/>
                <w:szCs w:val="24"/>
              </w:rPr>
              <w:t>Tauc</w:t>
            </w:r>
            <w:proofErr w:type="spellEnd"/>
            <w:r w:rsidRPr="00D522C5">
              <w:rPr>
                <w:rFonts w:ascii="Times New Roman" w:hAnsi="Times New Roman"/>
                <w:bCs/>
                <w:color w:val="000000" w:themeColor="text1"/>
                <w:sz w:val="24"/>
                <w:szCs w:val="24"/>
              </w:rPr>
              <w:t xml:space="preserve"> method indicated optical band gap values of approximately 4.55–4.60 eV, slightly lower than the expected value for </w:t>
            </w:r>
            <w:proofErr w:type="spellStart"/>
            <w:r w:rsidRPr="00D522C5">
              <w:rPr>
                <w:rFonts w:ascii="Times New Roman" w:hAnsi="Times New Roman"/>
                <w:bCs/>
                <w:color w:val="000000" w:themeColor="text1"/>
                <w:sz w:val="24"/>
                <w:szCs w:val="24"/>
              </w:rPr>
              <w:t>Ga₂O</w:t>
            </w:r>
            <w:proofErr w:type="spellEnd"/>
            <w:r w:rsidRPr="00D522C5">
              <w:rPr>
                <w:rFonts w:ascii="Times New Roman" w:hAnsi="Times New Roman"/>
                <w:bCs/>
                <w:color w:val="000000" w:themeColor="text1"/>
                <w:sz w:val="24"/>
                <w:szCs w:val="24"/>
              </w:rPr>
              <w:t>₃, which was attributed to the formation of band-tail states.</w:t>
            </w:r>
          </w:p>
          <w:p w14:paraId="59980A24"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rPr>
            </w:pPr>
            <w:r w:rsidRPr="00D522C5">
              <w:rPr>
                <w:rFonts w:ascii="Times New Roman" w:hAnsi="Times New Roman"/>
                <w:bCs/>
                <w:color w:val="000000" w:themeColor="text1"/>
                <w:sz w:val="24"/>
                <w:szCs w:val="24"/>
              </w:rPr>
              <w:t>Copper oxide (</w:t>
            </w:r>
            <w:proofErr w:type="spellStart"/>
            <w:r w:rsidRPr="00D522C5">
              <w:rPr>
                <w:rFonts w:ascii="Times New Roman" w:hAnsi="Times New Roman"/>
                <w:bCs/>
                <w:color w:val="000000" w:themeColor="text1"/>
                <w:sz w:val="24"/>
                <w:szCs w:val="24"/>
              </w:rPr>
              <w:t>CuO</w:t>
            </w:r>
            <w:proofErr w:type="spellEnd"/>
            <w:r w:rsidRPr="00D522C5">
              <w:rPr>
                <w:rFonts w:ascii="Times New Roman" w:hAnsi="Times New Roman"/>
                <w:bCs/>
                <w:color w:val="000000" w:themeColor="text1"/>
                <w:sz w:val="24"/>
                <w:szCs w:val="24"/>
              </w:rPr>
              <w:t xml:space="preserve">) thin films were also obtained by spray pyrolysis with thicknesses ranging from 180 to 580 nm. The results demonstrated a clear correlation between film thickness, surface roughness, hydrophobicity and electrical properties, showing increased electrical current and reduced resistivity. X-ray diffraction confirmed the formation of a stable monoclinic </w:t>
            </w:r>
            <w:proofErr w:type="spellStart"/>
            <w:r w:rsidRPr="00D522C5">
              <w:rPr>
                <w:rFonts w:ascii="Times New Roman" w:hAnsi="Times New Roman"/>
                <w:bCs/>
                <w:color w:val="000000" w:themeColor="text1"/>
                <w:sz w:val="24"/>
                <w:szCs w:val="24"/>
              </w:rPr>
              <w:t>CuO</w:t>
            </w:r>
            <w:proofErr w:type="spellEnd"/>
            <w:r w:rsidRPr="00D522C5">
              <w:rPr>
                <w:rFonts w:ascii="Times New Roman" w:hAnsi="Times New Roman"/>
                <w:bCs/>
                <w:color w:val="000000" w:themeColor="text1"/>
                <w:sz w:val="24"/>
                <w:szCs w:val="24"/>
              </w:rPr>
              <w:t xml:space="preserve"> crystalline phase. For comparison, </w:t>
            </w:r>
            <w:proofErr w:type="spellStart"/>
            <w:r w:rsidRPr="00D522C5">
              <w:rPr>
                <w:rFonts w:ascii="Times New Roman" w:hAnsi="Times New Roman"/>
                <w:bCs/>
                <w:color w:val="000000" w:themeColor="text1"/>
                <w:sz w:val="24"/>
                <w:szCs w:val="24"/>
              </w:rPr>
              <w:t>CuO</w:t>
            </w:r>
            <w:proofErr w:type="spellEnd"/>
            <w:r w:rsidRPr="00D522C5">
              <w:rPr>
                <w:rFonts w:ascii="Times New Roman" w:hAnsi="Times New Roman"/>
                <w:bCs/>
                <w:color w:val="000000" w:themeColor="text1"/>
                <w:sz w:val="24"/>
                <w:szCs w:val="24"/>
              </w:rPr>
              <w:t xml:space="preserve"> films deposited by RF magnetron sputtering were investigated, revealing enhanced hydrophobic behavior and improved structural properties after post-deposition thermal treatment. Raman spectroscopy and XRD analysis confirmed the formation of the cubic </w:t>
            </w:r>
            <w:proofErr w:type="spellStart"/>
            <w:r w:rsidRPr="00D522C5">
              <w:rPr>
                <w:rFonts w:ascii="Times New Roman" w:hAnsi="Times New Roman"/>
                <w:bCs/>
                <w:color w:val="000000" w:themeColor="text1"/>
                <w:sz w:val="24"/>
                <w:szCs w:val="24"/>
              </w:rPr>
              <w:t>Cu₂O</w:t>
            </w:r>
            <w:proofErr w:type="spellEnd"/>
            <w:r w:rsidRPr="00D522C5">
              <w:rPr>
                <w:rFonts w:ascii="Times New Roman" w:hAnsi="Times New Roman"/>
                <w:bCs/>
                <w:color w:val="000000" w:themeColor="text1"/>
                <w:sz w:val="24"/>
                <w:szCs w:val="24"/>
              </w:rPr>
              <w:t xml:space="preserve"> phase. Another study addressed zinc–tin oxide (</w:t>
            </w:r>
            <w:proofErr w:type="spellStart"/>
            <w:r w:rsidRPr="00D522C5">
              <w:rPr>
                <w:rFonts w:ascii="Times New Roman" w:hAnsi="Times New Roman"/>
                <w:bCs/>
                <w:color w:val="000000" w:themeColor="text1"/>
                <w:sz w:val="24"/>
                <w:szCs w:val="24"/>
              </w:rPr>
              <w:t>ZnSnO</w:t>
            </w:r>
            <w:proofErr w:type="spellEnd"/>
            <w:r w:rsidRPr="00D522C5">
              <w:rPr>
                <w:rFonts w:ascii="Times New Roman" w:hAnsi="Times New Roman"/>
                <w:bCs/>
                <w:color w:val="000000" w:themeColor="text1"/>
                <w:sz w:val="24"/>
                <w:szCs w:val="24"/>
              </w:rPr>
              <w:t xml:space="preserve">) thin films synthesized by spray pyrolysis at different deposition times. Scanning electron microscopy revealed an increase in film thickness from 80 nm to 320 nm accompanied by morphological </w:t>
            </w:r>
            <w:r w:rsidRPr="00D522C5">
              <w:rPr>
                <w:rFonts w:ascii="Times New Roman" w:hAnsi="Times New Roman"/>
                <w:bCs/>
                <w:color w:val="000000" w:themeColor="text1"/>
                <w:sz w:val="24"/>
                <w:szCs w:val="24"/>
              </w:rPr>
              <w:lastRenderedPageBreak/>
              <w:t xml:space="preserve">evolution from compact layers with small crystallites to denser structures with larger grains. XRD analysis confirmed the coexistence of </w:t>
            </w:r>
            <w:proofErr w:type="spellStart"/>
            <w:r w:rsidRPr="00D522C5">
              <w:rPr>
                <w:rFonts w:ascii="Times New Roman" w:hAnsi="Times New Roman"/>
                <w:bCs/>
                <w:color w:val="000000" w:themeColor="text1"/>
                <w:sz w:val="24"/>
                <w:szCs w:val="24"/>
              </w:rPr>
              <w:t>Zn₂SnO</w:t>
            </w:r>
            <w:proofErr w:type="spellEnd"/>
            <w:r w:rsidRPr="00D522C5">
              <w:rPr>
                <w:rFonts w:ascii="Times New Roman" w:hAnsi="Times New Roman"/>
                <w:bCs/>
                <w:color w:val="000000" w:themeColor="text1"/>
                <w:sz w:val="24"/>
                <w:szCs w:val="24"/>
              </w:rPr>
              <w:t xml:space="preserve">₄ and </w:t>
            </w:r>
            <w:proofErr w:type="spellStart"/>
            <w:r w:rsidRPr="00D522C5">
              <w:rPr>
                <w:rFonts w:ascii="Times New Roman" w:hAnsi="Times New Roman"/>
                <w:bCs/>
                <w:color w:val="000000" w:themeColor="text1"/>
                <w:sz w:val="24"/>
                <w:szCs w:val="24"/>
              </w:rPr>
              <w:t>SnO</w:t>
            </w:r>
            <w:proofErr w:type="spellEnd"/>
            <w:r w:rsidRPr="00D522C5">
              <w:rPr>
                <w:rFonts w:ascii="Times New Roman" w:hAnsi="Times New Roman"/>
                <w:bCs/>
                <w:color w:val="000000" w:themeColor="text1"/>
                <w:sz w:val="24"/>
                <w:szCs w:val="24"/>
              </w:rPr>
              <w:t xml:space="preserve">₂ phases, with preferential stabilization of </w:t>
            </w:r>
            <w:proofErr w:type="spellStart"/>
            <w:r w:rsidRPr="00D522C5">
              <w:rPr>
                <w:rFonts w:ascii="Times New Roman" w:hAnsi="Times New Roman"/>
                <w:bCs/>
                <w:color w:val="000000" w:themeColor="text1"/>
                <w:sz w:val="24"/>
                <w:szCs w:val="24"/>
              </w:rPr>
              <w:t>Zn₂SnO</w:t>
            </w:r>
            <w:proofErr w:type="spellEnd"/>
            <w:r w:rsidRPr="00D522C5">
              <w:rPr>
                <w:rFonts w:ascii="Times New Roman" w:hAnsi="Times New Roman"/>
                <w:bCs/>
                <w:color w:val="000000" w:themeColor="text1"/>
                <w:sz w:val="24"/>
                <w:szCs w:val="24"/>
              </w:rPr>
              <w:t xml:space="preserve">₄ in thicker films. Optical transparency decreased from 84% to 72% with increasing thickness. Functional multilayer nanostructures based on Nb, Co, Fe and </w:t>
            </w:r>
            <w:proofErr w:type="spellStart"/>
            <w:r w:rsidRPr="00D522C5">
              <w:rPr>
                <w:rFonts w:ascii="Times New Roman" w:hAnsi="Times New Roman"/>
                <w:bCs/>
                <w:color w:val="000000" w:themeColor="text1"/>
                <w:sz w:val="24"/>
                <w:szCs w:val="24"/>
              </w:rPr>
              <w:t>CuNi</w:t>
            </w:r>
            <w:proofErr w:type="spellEnd"/>
            <w:r w:rsidRPr="00D522C5">
              <w:rPr>
                <w:rFonts w:ascii="Times New Roman" w:hAnsi="Times New Roman"/>
                <w:bCs/>
                <w:color w:val="000000" w:themeColor="text1"/>
                <w:sz w:val="24"/>
                <w:szCs w:val="24"/>
              </w:rPr>
              <w:t xml:space="preserve"> were fabricated, exhibiting superconducting transition temperatures in the range of 7.7–8.16 K. Numerical modeling demonstrated the formation of complex magnetic domain structures, including </w:t>
            </w:r>
            <w:proofErr w:type="spellStart"/>
            <w:r w:rsidRPr="00D522C5">
              <w:rPr>
                <w:rFonts w:ascii="Times New Roman" w:hAnsi="Times New Roman"/>
                <w:bCs/>
                <w:color w:val="000000" w:themeColor="text1"/>
                <w:sz w:val="24"/>
                <w:szCs w:val="24"/>
              </w:rPr>
              <w:t>skyrmions</w:t>
            </w:r>
            <w:proofErr w:type="spellEnd"/>
            <w:r w:rsidRPr="00D522C5">
              <w:rPr>
                <w:rFonts w:ascii="Times New Roman" w:hAnsi="Times New Roman"/>
                <w:bCs/>
                <w:color w:val="000000" w:themeColor="text1"/>
                <w:sz w:val="24"/>
                <w:szCs w:val="24"/>
              </w:rPr>
              <w:t xml:space="preserve"> and vortex configurations, indicating strong potential for applications in superconducting electronics and computational memory devices.</w:t>
            </w:r>
          </w:p>
          <w:p w14:paraId="38C9FC1E" w14:textId="77777777" w:rsidR="00171475" w:rsidRPr="009C0AE6"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rPr>
            </w:pPr>
            <w:r w:rsidRPr="00D522C5">
              <w:rPr>
                <w:rFonts w:ascii="Times New Roman" w:hAnsi="Times New Roman"/>
                <w:bCs/>
                <w:color w:val="000000" w:themeColor="text1"/>
                <w:sz w:val="24"/>
                <w:szCs w:val="24"/>
              </w:rPr>
              <w:t xml:space="preserve">Thermoelectric properties of </w:t>
            </w:r>
            <w:proofErr w:type="spellStart"/>
            <w:r w:rsidRPr="00D522C5">
              <w:rPr>
                <w:rFonts w:ascii="Times New Roman" w:hAnsi="Times New Roman"/>
                <w:bCs/>
                <w:color w:val="000000" w:themeColor="text1"/>
                <w:sz w:val="24"/>
                <w:szCs w:val="24"/>
              </w:rPr>
              <w:t>SnSe</w:t>
            </w:r>
            <w:proofErr w:type="spellEnd"/>
            <w:r w:rsidRPr="00D522C5">
              <w:rPr>
                <w:rFonts w:ascii="Times New Roman" w:hAnsi="Times New Roman"/>
                <w:bCs/>
                <w:color w:val="000000" w:themeColor="text1"/>
                <w:sz w:val="24"/>
                <w:szCs w:val="24"/>
              </w:rPr>
              <w:t xml:space="preserve">-based single-crystal layers doped with Ag and Bi were investigated in the temperature range 90–300 K. Thin single-crystal layers with thicknesses between 1 and 100 µm were produced using an original patented exfoliation technique. High </w:t>
            </w:r>
            <w:proofErr w:type="spellStart"/>
            <w:r w:rsidRPr="00D522C5">
              <w:rPr>
                <w:rFonts w:ascii="Times New Roman" w:hAnsi="Times New Roman"/>
                <w:bCs/>
                <w:color w:val="000000" w:themeColor="text1"/>
                <w:sz w:val="24"/>
                <w:szCs w:val="24"/>
              </w:rPr>
              <w:t>Seebeck</w:t>
            </w:r>
            <w:proofErr w:type="spellEnd"/>
            <w:r w:rsidRPr="00D522C5">
              <w:rPr>
                <w:rFonts w:ascii="Times New Roman" w:hAnsi="Times New Roman"/>
                <w:bCs/>
                <w:color w:val="000000" w:themeColor="text1"/>
                <w:sz w:val="24"/>
                <w:szCs w:val="24"/>
              </w:rPr>
              <w:t xml:space="preserve"> coefficients and enhanced power factors were obtained, confirming the suitability of these materials for energy-conversion applications. In addition, technologies for the fabrication of Bi and Bi–Sn thin films with controlled crystallographic orientation were developed and applied in anisotropic heat-flux sensors. All sensors exhibited a response time of approximately 0.2 s, independent of electrical resistance, indicating stable thermal behavior. </w:t>
            </w:r>
            <w:r w:rsidRPr="009C0AE6">
              <w:rPr>
                <w:rFonts w:ascii="Times New Roman" w:hAnsi="Times New Roman"/>
                <w:bCs/>
                <w:color w:val="000000" w:themeColor="text1"/>
                <w:sz w:val="24"/>
                <w:szCs w:val="24"/>
              </w:rPr>
              <w:t xml:space="preserve">For environmental applications, </w:t>
            </w:r>
            <w:proofErr w:type="spellStart"/>
            <w:r w:rsidRPr="009C0AE6">
              <w:rPr>
                <w:rFonts w:ascii="Times New Roman" w:hAnsi="Times New Roman"/>
                <w:bCs/>
                <w:color w:val="000000" w:themeColor="text1"/>
                <w:sz w:val="24"/>
                <w:szCs w:val="24"/>
              </w:rPr>
              <w:t>ZnFe₂O</w:t>
            </w:r>
            <w:proofErr w:type="spellEnd"/>
            <w:r w:rsidRPr="009C0AE6">
              <w:rPr>
                <w:rFonts w:ascii="Times New Roman" w:hAnsi="Times New Roman"/>
                <w:bCs/>
                <w:color w:val="000000" w:themeColor="text1"/>
                <w:sz w:val="24"/>
                <w:szCs w:val="24"/>
              </w:rPr>
              <w:t xml:space="preserve">₄ </w:t>
            </w:r>
            <w:proofErr w:type="spellStart"/>
            <w:r w:rsidRPr="009C0AE6">
              <w:rPr>
                <w:rFonts w:ascii="Times New Roman" w:hAnsi="Times New Roman"/>
                <w:bCs/>
                <w:color w:val="000000" w:themeColor="text1"/>
                <w:sz w:val="24"/>
                <w:szCs w:val="24"/>
              </w:rPr>
              <w:t>nanoferrite</w:t>
            </w:r>
            <w:proofErr w:type="spellEnd"/>
            <w:r w:rsidRPr="009C0AE6">
              <w:rPr>
                <w:rFonts w:ascii="Times New Roman" w:hAnsi="Times New Roman"/>
                <w:bCs/>
                <w:color w:val="000000" w:themeColor="text1"/>
                <w:sz w:val="24"/>
                <w:szCs w:val="24"/>
              </w:rPr>
              <w:t xml:space="preserve"> heterostructures were fabricated by electrophoretic deposition. The resulting porous films exhibit a high specific surface area and strong optical absorption in the visible spectral range (450–570 nm), making them promising candidates for the photocatalytic degradation of textile dyes and wastewater purification. The </w:t>
            </w:r>
            <w:proofErr w:type="spellStart"/>
            <w:r w:rsidRPr="009C0AE6">
              <w:rPr>
                <w:rFonts w:ascii="Times New Roman" w:hAnsi="Times New Roman"/>
                <w:bCs/>
                <w:color w:val="000000" w:themeColor="text1"/>
                <w:sz w:val="24"/>
                <w:szCs w:val="24"/>
              </w:rPr>
              <w:t>heterostructured</w:t>
            </w:r>
            <w:proofErr w:type="spellEnd"/>
            <w:r w:rsidRPr="009C0AE6">
              <w:rPr>
                <w:rFonts w:ascii="Times New Roman" w:hAnsi="Times New Roman"/>
                <w:bCs/>
                <w:color w:val="000000" w:themeColor="text1"/>
                <w:sz w:val="24"/>
                <w:szCs w:val="24"/>
              </w:rPr>
              <w:t xml:space="preserve"> films were deposited from a </w:t>
            </w:r>
            <w:proofErr w:type="spellStart"/>
            <w:r w:rsidRPr="009C0AE6">
              <w:rPr>
                <w:rFonts w:ascii="Times New Roman" w:hAnsi="Times New Roman"/>
                <w:bCs/>
                <w:color w:val="000000" w:themeColor="text1"/>
                <w:sz w:val="24"/>
                <w:szCs w:val="24"/>
              </w:rPr>
              <w:t>ZnFe₂O</w:t>
            </w:r>
            <w:proofErr w:type="spellEnd"/>
            <w:r w:rsidRPr="009C0AE6">
              <w:rPr>
                <w:rFonts w:ascii="Times New Roman" w:hAnsi="Times New Roman"/>
                <w:bCs/>
                <w:color w:val="000000" w:themeColor="text1"/>
                <w:sz w:val="24"/>
                <w:szCs w:val="24"/>
              </w:rPr>
              <w:t>₄-based suspension in acetylacetone under applied voltages of 100–600 V and currents of 2–50 mA onto conductive glass (ITO) substrates. The obtained materials show a porous morphology with micrometer-scale thickness, crystallite sizes of 85 ± 2 nm, and enhanced visible-light absorption, indicating strong potential for photocatalytic wastewater treatment.</w:t>
            </w:r>
          </w:p>
          <w:p w14:paraId="37D9DA19" w14:textId="77777777" w:rsidR="00171475" w:rsidRPr="00D522C5" w:rsidRDefault="00171475" w:rsidP="00584D0F">
            <w:pPr>
              <w:pBdr>
                <w:top w:val="nil"/>
                <w:left w:val="nil"/>
                <w:bottom w:val="nil"/>
                <w:right w:val="nil"/>
                <w:between w:val="nil"/>
              </w:pBdr>
              <w:spacing w:after="0" w:line="276" w:lineRule="auto"/>
              <w:jc w:val="both"/>
              <w:rPr>
                <w:rFonts w:ascii="Times New Roman" w:hAnsi="Times New Roman"/>
                <w:bCs/>
                <w:color w:val="000000" w:themeColor="text1"/>
                <w:sz w:val="24"/>
                <w:szCs w:val="24"/>
              </w:rPr>
            </w:pPr>
            <w:r w:rsidRPr="009C0AE6">
              <w:rPr>
                <w:rFonts w:ascii="Times New Roman" w:hAnsi="Times New Roman"/>
                <w:bCs/>
                <w:color w:val="000000" w:themeColor="text1"/>
                <w:sz w:val="24"/>
                <w:szCs w:val="24"/>
              </w:rPr>
              <w:t>Overall, the research conducted in 2025 demonstrates a high level of scientific originality, technological maturity, and significant application potential in electronics, optoelectronics, energy conversion, and environmental protection.</w:t>
            </w:r>
          </w:p>
        </w:tc>
      </w:tr>
    </w:tbl>
    <w:p w14:paraId="3CBCF1CB"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p w14:paraId="3794DE80"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p w14:paraId="56A258C5"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p w14:paraId="2D3458D5"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p w14:paraId="4C409FFF"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p w14:paraId="6646D173" w14:textId="77777777" w:rsidR="00171475" w:rsidRPr="00D522C5" w:rsidRDefault="00171475" w:rsidP="00171475">
      <w:pPr>
        <w:spacing w:after="120" w:line="276" w:lineRule="auto"/>
        <w:jc w:val="both"/>
        <w:rPr>
          <w:rFonts w:ascii="Times New Roman" w:hAnsi="Times New Roman"/>
          <w:b/>
          <w:i/>
          <w:color w:val="000000" w:themeColor="text1"/>
          <w:sz w:val="24"/>
          <w:szCs w:val="24"/>
          <w:lang w:val="ro-RO"/>
        </w:rPr>
      </w:pPr>
    </w:p>
    <w:tbl>
      <w:tblPr>
        <w:tblW w:w="0" w:type="auto"/>
        <w:tblLook w:val="04A0" w:firstRow="1" w:lastRow="0" w:firstColumn="1" w:lastColumn="0" w:noHBand="0" w:noVBand="1"/>
      </w:tblPr>
      <w:tblGrid>
        <w:gridCol w:w="3801"/>
        <w:gridCol w:w="279"/>
        <w:gridCol w:w="2857"/>
        <w:gridCol w:w="278"/>
        <w:gridCol w:w="2145"/>
      </w:tblGrid>
      <w:tr w:rsidR="00171475" w:rsidRPr="00D522C5" w14:paraId="78A73FB1" w14:textId="77777777" w:rsidTr="00584D0F">
        <w:tc>
          <w:tcPr>
            <w:tcW w:w="3920" w:type="dxa"/>
          </w:tcPr>
          <w:p w14:paraId="45DE247C" w14:textId="77777777" w:rsidR="00171475" w:rsidRPr="00D522C5" w:rsidRDefault="00171475" w:rsidP="00584D0F">
            <w:pPr>
              <w:spacing w:after="0" w:line="240" w:lineRule="auto"/>
              <w:jc w:val="both"/>
              <w:rPr>
                <w:rFonts w:ascii="Times New Roman" w:eastAsia="Times New Roman" w:hAnsi="Times New Roman"/>
                <w:b/>
                <w:color w:val="000000" w:themeColor="text1"/>
                <w:sz w:val="24"/>
                <w:szCs w:val="24"/>
                <w:lang w:val="ro-RO"/>
              </w:rPr>
            </w:pPr>
            <w:bookmarkStart w:id="0" w:name="_Hlk219279300"/>
            <w:r w:rsidRPr="00D522C5">
              <w:rPr>
                <w:rFonts w:ascii="Times New Roman" w:eastAsia="Times New Roman" w:hAnsi="Times New Roman"/>
                <w:b/>
                <w:color w:val="000000" w:themeColor="text1"/>
                <w:sz w:val="24"/>
                <w:szCs w:val="24"/>
                <w:lang w:val="ro-RO"/>
              </w:rPr>
              <w:t xml:space="preserve">Coordonatorul subprogramului                             </w:t>
            </w:r>
          </w:p>
          <w:p w14:paraId="762A7E9D" w14:textId="77777777" w:rsidR="00171475" w:rsidRPr="00D522C5" w:rsidRDefault="00171475" w:rsidP="00584D0F">
            <w:pPr>
              <w:spacing w:after="0" w:line="240" w:lineRule="auto"/>
              <w:jc w:val="both"/>
              <w:rPr>
                <w:rFonts w:ascii="Times New Roman" w:hAnsi="Times New Roman"/>
                <w:b/>
                <w:i/>
                <w:color w:val="000000" w:themeColor="text1"/>
                <w:sz w:val="24"/>
                <w:lang w:val="ro-MD"/>
              </w:rPr>
            </w:pPr>
            <w:r w:rsidRPr="00D522C5">
              <w:rPr>
                <w:rFonts w:ascii="Times New Roman" w:eastAsia="Times New Roman" w:hAnsi="Times New Roman"/>
                <w:b/>
                <w:color w:val="000000" w:themeColor="text1"/>
                <w:sz w:val="24"/>
                <w:szCs w:val="24"/>
                <w:lang w:val="ro-RO"/>
              </w:rPr>
              <w:t>de cercetare</w:t>
            </w:r>
          </w:p>
        </w:tc>
        <w:tc>
          <w:tcPr>
            <w:tcW w:w="283" w:type="dxa"/>
          </w:tcPr>
          <w:p w14:paraId="57483782" w14:textId="77777777" w:rsidR="00171475" w:rsidRPr="00D522C5" w:rsidRDefault="00171475" w:rsidP="00584D0F">
            <w:pPr>
              <w:spacing w:after="0" w:line="240" w:lineRule="auto"/>
              <w:jc w:val="both"/>
              <w:rPr>
                <w:rFonts w:ascii="Times New Roman" w:hAnsi="Times New Roman"/>
                <w:b/>
                <w:i/>
                <w:color w:val="000000" w:themeColor="text1"/>
                <w:sz w:val="24"/>
                <w:lang w:val="ro-MD"/>
              </w:rPr>
            </w:pPr>
          </w:p>
        </w:tc>
        <w:tc>
          <w:tcPr>
            <w:tcW w:w="2937" w:type="dxa"/>
            <w:tcBorders>
              <w:bottom w:val="single" w:sz="4" w:space="0" w:color="auto"/>
            </w:tcBorders>
            <w:vAlign w:val="bottom"/>
          </w:tcPr>
          <w:p w14:paraId="0886546A" w14:textId="77777777" w:rsidR="00171475" w:rsidRPr="00D522C5" w:rsidRDefault="00171475" w:rsidP="00584D0F">
            <w:pPr>
              <w:spacing w:after="0" w:line="240" w:lineRule="auto"/>
              <w:jc w:val="center"/>
              <w:rPr>
                <w:rFonts w:ascii="Times New Roman" w:hAnsi="Times New Roman"/>
                <w:b/>
                <w:i/>
                <w:color w:val="000000" w:themeColor="text1"/>
                <w:sz w:val="24"/>
                <w:lang w:val="ro-MD"/>
              </w:rPr>
            </w:pPr>
            <w:r w:rsidRPr="00D522C5">
              <w:rPr>
                <w:rFonts w:ascii="Times New Roman" w:eastAsia="Times New Roman" w:hAnsi="Times New Roman"/>
                <w:b/>
                <w:color w:val="000000" w:themeColor="text1"/>
                <w:sz w:val="24"/>
                <w:szCs w:val="24"/>
                <w:lang w:val="ro-RO"/>
              </w:rPr>
              <w:t>dr. Victor COJOCARU</w:t>
            </w:r>
          </w:p>
        </w:tc>
        <w:tc>
          <w:tcPr>
            <w:tcW w:w="282" w:type="dxa"/>
          </w:tcPr>
          <w:p w14:paraId="24612659" w14:textId="77777777" w:rsidR="00171475" w:rsidRPr="00D522C5" w:rsidRDefault="00171475" w:rsidP="00584D0F">
            <w:pPr>
              <w:spacing w:after="0" w:line="240" w:lineRule="auto"/>
              <w:jc w:val="both"/>
              <w:rPr>
                <w:rFonts w:ascii="Times New Roman" w:eastAsia="Times New Roman" w:hAnsi="Times New Roman"/>
                <w:b/>
                <w:color w:val="000000" w:themeColor="text1"/>
                <w:spacing w:val="1"/>
                <w:sz w:val="24"/>
                <w:szCs w:val="24"/>
                <w:lang w:val="ro-RO"/>
              </w:rPr>
            </w:pPr>
          </w:p>
        </w:tc>
        <w:tc>
          <w:tcPr>
            <w:tcW w:w="2216" w:type="dxa"/>
            <w:tcBorders>
              <w:bottom w:val="single" w:sz="4" w:space="0" w:color="auto"/>
            </w:tcBorders>
            <w:vAlign w:val="bottom"/>
          </w:tcPr>
          <w:p w14:paraId="3E08F4E1" w14:textId="77777777" w:rsidR="00171475" w:rsidRPr="00D522C5" w:rsidRDefault="00171475" w:rsidP="00584D0F">
            <w:pPr>
              <w:spacing w:after="0" w:line="240" w:lineRule="auto"/>
              <w:jc w:val="center"/>
              <w:rPr>
                <w:rFonts w:ascii="Times New Roman" w:hAnsi="Times New Roman"/>
                <w:b/>
                <w:i/>
                <w:color w:val="000000" w:themeColor="text1"/>
                <w:sz w:val="24"/>
                <w:lang w:val="ro-MD"/>
              </w:rPr>
            </w:pPr>
          </w:p>
        </w:tc>
      </w:tr>
      <w:tr w:rsidR="00171475" w:rsidRPr="00D522C5" w14:paraId="0425AFEC" w14:textId="77777777" w:rsidTr="00584D0F">
        <w:tc>
          <w:tcPr>
            <w:tcW w:w="3920" w:type="dxa"/>
          </w:tcPr>
          <w:p w14:paraId="43434EFB" w14:textId="77777777" w:rsidR="00171475" w:rsidRPr="00D522C5" w:rsidRDefault="00171475" w:rsidP="00584D0F">
            <w:pPr>
              <w:spacing w:after="0" w:line="240" w:lineRule="auto"/>
              <w:jc w:val="both"/>
              <w:rPr>
                <w:rFonts w:ascii="Times New Roman" w:hAnsi="Times New Roman"/>
                <w:b/>
                <w:i/>
                <w:color w:val="000000" w:themeColor="text1"/>
                <w:sz w:val="16"/>
                <w:szCs w:val="16"/>
                <w:lang w:val="ro-MD"/>
              </w:rPr>
            </w:pPr>
          </w:p>
        </w:tc>
        <w:tc>
          <w:tcPr>
            <w:tcW w:w="283" w:type="dxa"/>
          </w:tcPr>
          <w:p w14:paraId="0839B965" w14:textId="77777777" w:rsidR="00171475" w:rsidRPr="00D522C5" w:rsidRDefault="00171475" w:rsidP="00584D0F">
            <w:pPr>
              <w:spacing w:after="0" w:line="240" w:lineRule="auto"/>
              <w:jc w:val="center"/>
              <w:rPr>
                <w:rFonts w:ascii="Times New Roman" w:eastAsia="Times New Roman" w:hAnsi="Times New Roman"/>
                <w:i/>
                <w:color w:val="000000" w:themeColor="text1"/>
                <w:sz w:val="16"/>
                <w:szCs w:val="16"/>
                <w:lang w:val="ro-RO"/>
              </w:rPr>
            </w:pPr>
          </w:p>
        </w:tc>
        <w:tc>
          <w:tcPr>
            <w:tcW w:w="2937" w:type="dxa"/>
            <w:tcBorders>
              <w:top w:val="single" w:sz="4" w:space="0" w:color="auto"/>
            </w:tcBorders>
          </w:tcPr>
          <w:p w14:paraId="298A12BD" w14:textId="77777777" w:rsidR="00171475" w:rsidRPr="00D522C5" w:rsidRDefault="00171475" w:rsidP="00584D0F">
            <w:pPr>
              <w:spacing w:after="0" w:line="240" w:lineRule="auto"/>
              <w:jc w:val="center"/>
              <w:rPr>
                <w:rFonts w:ascii="Times New Roman" w:hAnsi="Times New Roman"/>
                <w:b/>
                <w:i/>
                <w:color w:val="000000" w:themeColor="text1"/>
                <w:sz w:val="16"/>
                <w:szCs w:val="16"/>
                <w:lang w:val="ro-MD"/>
              </w:rPr>
            </w:pPr>
            <w:r w:rsidRPr="00D522C5">
              <w:rPr>
                <w:rFonts w:ascii="Times New Roman" w:eastAsia="Times New Roman" w:hAnsi="Times New Roman"/>
                <w:i/>
                <w:color w:val="000000" w:themeColor="text1"/>
                <w:sz w:val="16"/>
                <w:szCs w:val="16"/>
                <w:lang w:val="ro-RO"/>
              </w:rPr>
              <w:t>(numele, prenumele)</w:t>
            </w:r>
          </w:p>
        </w:tc>
        <w:tc>
          <w:tcPr>
            <w:tcW w:w="282" w:type="dxa"/>
          </w:tcPr>
          <w:p w14:paraId="30FD953B" w14:textId="77777777" w:rsidR="00171475" w:rsidRPr="00D522C5" w:rsidRDefault="00171475" w:rsidP="00584D0F">
            <w:pPr>
              <w:spacing w:after="0" w:line="240" w:lineRule="auto"/>
              <w:jc w:val="center"/>
              <w:rPr>
                <w:rFonts w:ascii="Times New Roman" w:eastAsia="Times New Roman" w:hAnsi="Times New Roman"/>
                <w:i/>
                <w:color w:val="000000" w:themeColor="text1"/>
                <w:sz w:val="16"/>
                <w:szCs w:val="16"/>
                <w:lang w:val="ro-RO"/>
              </w:rPr>
            </w:pPr>
          </w:p>
        </w:tc>
        <w:tc>
          <w:tcPr>
            <w:tcW w:w="2216" w:type="dxa"/>
            <w:tcBorders>
              <w:top w:val="single" w:sz="4" w:space="0" w:color="auto"/>
            </w:tcBorders>
          </w:tcPr>
          <w:p w14:paraId="0B52D799" w14:textId="77777777" w:rsidR="00171475" w:rsidRPr="00D522C5" w:rsidRDefault="00171475" w:rsidP="00584D0F">
            <w:pPr>
              <w:spacing w:after="0" w:line="240" w:lineRule="auto"/>
              <w:jc w:val="center"/>
              <w:rPr>
                <w:rFonts w:ascii="Times New Roman" w:hAnsi="Times New Roman"/>
                <w:b/>
                <w:i/>
                <w:color w:val="000000" w:themeColor="text1"/>
                <w:sz w:val="16"/>
                <w:szCs w:val="16"/>
                <w:lang w:val="ro-MD"/>
              </w:rPr>
            </w:pPr>
            <w:r w:rsidRPr="00D522C5">
              <w:rPr>
                <w:rFonts w:ascii="Times New Roman" w:eastAsia="Times New Roman" w:hAnsi="Times New Roman"/>
                <w:i/>
                <w:color w:val="000000" w:themeColor="text1"/>
                <w:sz w:val="16"/>
                <w:szCs w:val="16"/>
                <w:lang w:val="ro-RO"/>
              </w:rPr>
              <w:t xml:space="preserve"> (semnătura)</w:t>
            </w:r>
          </w:p>
        </w:tc>
      </w:tr>
    </w:tbl>
    <w:p w14:paraId="34DAB213" w14:textId="77777777" w:rsidR="00171475" w:rsidRPr="00D522C5" w:rsidRDefault="00171475" w:rsidP="00171475">
      <w:pPr>
        <w:spacing w:after="120" w:line="276" w:lineRule="auto"/>
        <w:rPr>
          <w:rFonts w:ascii="Times New Roman" w:eastAsia="Times New Roman" w:hAnsi="Times New Roman"/>
          <w:color w:val="000000" w:themeColor="text1"/>
          <w:sz w:val="24"/>
          <w:szCs w:val="24"/>
          <w:lang w:val="ro-RO" w:eastAsia="ru-RU"/>
        </w:rPr>
      </w:pPr>
    </w:p>
    <w:p w14:paraId="01B9209A" w14:textId="6201B672" w:rsidR="00171475" w:rsidRPr="00171475" w:rsidRDefault="00171475" w:rsidP="00171475">
      <w:pPr>
        <w:spacing w:after="120" w:line="276" w:lineRule="auto"/>
        <w:rPr>
          <w:rFonts w:ascii="Times New Roman" w:eastAsia="Times New Roman" w:hAnsi="Times New Roman"/>
          <w:color w:val="000000" w:themeColor="text1"/>
          <w:sz w:val="24"/>
          <w:szCs w:val="24"/>
          <w:u w:val="single"/>
          <w:lang w:val="ro-RO" w:eastAsia="ru-RU"/>
        </w:rPr>
      </w:pPr>
      <w:r w:rsidRPr="00D522C5">
        <w:rPr>
          <w:rFonts w:ascii="Times New Roman" w:eastAsia="Times New Roman" w:hAnsi="Times New Roman"/>
          <w:color w:val="000000" w:themeColor="text1"/>
          <w:sz w:val="24"/>
          <w:szCs w:val="24"/>
          <w:lang w:val="ro-RO" w:eastAsia="ru-RU"/>
        </w:rPr>
        <w:t xml:space="preserve">Data: _________________ </w:t>
      </w:r>
      <w:bookmarkEnd w:id="0"/>
    </w:p>
    <w:sectPr w:rsidR="00171475" w:rsidRPr="0017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75"/>
    <w:rsid w:val="00171475"/>
    <w:rsid w:val="00EF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182E"/>
  <w15:chartTrackingRefBased/>
  <w15:docId w15:val="{B32A7EA8-B2B4-4570-898A-D4194199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75"/>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7147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47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47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47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47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47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47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47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47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475"/>
    <w:rPr>
      <w:rFonts w:eastAsiaTheme="majorEastAsia" w:cstheme="majorBidi"/>
      <w:color w:val="272727" w:themeColor="text1" w:themeTint="D8"/>
    </w:rPr>
  </w:style>
  <w:style w:type="paragraph" w:styleId="Title">
    <w:name w:val="Title"/>
    <w:basedOn w:val="Normal"/>
    <w:next w:val="Normal"/>
    <w:link w:val="TitleChar"/>
    <w:uiPriority w:val="10"/>
    <w:qFormat/>
    <w:rsid w:val="0017147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1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47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1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47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1475"/>
    <w:rPr>
      <w:i/>
      <w:iCs/>
      <w:color w:val="404040" w:themeColor="text1" w:themeTint="BF"/>
    </w:rPr>
  </w:style>
  <w:style w:type="paragraph" w:styleId="ListParagraph">
    <w:name w:val="List Paragraph"/>
    <w:basedOn w:val="Normal"/>
    <w:uiPriority w:val="34"/>
    <w:qFormat/>
    <w:rsid w:val="0017147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1475"/>
    <w:rPr>
      <w:i/>
      <w:iCs/>
      <w:color w:val="2F5496" w:themeColor="accent1" w:themeShade="BF"/>
    </w:rPr>
  </w:style>
  <w:style w:type="paragraph" w:styleId="IntenseQuote">
    <w:name w:val="Intense Quote"/>
    <w:basedOn w:val="Normal"/>
    <w:next w:val="Normal"/>
    <w:link w:val="IntenseQuoteChar"/>
    <w:uiPriority w:val="30"/>
    <w:qFormat/>
    <w:rsid w:val="001714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1475"/>
    <w:rPr>
      <w:i/>
      <w:iCs/>
      <w:color w:val="2F5496" w:themeColor="accent1" w:themeShade="BF"/>
    </w:rPr>
  </w:style>
  <w:style w:type="character" w:styleId="IntenseReference">
    <w:name w:val="Intense Reference"/>
    <w:basedOn w:val="DefaultParagraphFont"/>
    <w:uiPriority w:val="32"/>
    <w:qFormat/>
    <w:rsid w:val="00171475"/>
    <w:rPr>
      <w:b/>
      <w:bCs/>
      <w:smallCaps/>
      <w:color w:val="2F5496" w:themeColor="accent1" w:themeShade="BF"/>
      <w:spacing w:val="5"/>
    </w:rPr>
  </w:style>
  <w:style w:type="paragraph" w:styleId="NoSpacing">
    <w:name w:val="No Spacing"/>
    <w:link w:val="NoSpacingChar"/>
    <w:uiPriority w:val="1"/>
    <w:qFormat/>
    <w:rsid w:val="00171475"/>
    <w:pPr>
      <w:widowControl w:val="0"/>
      <w:spacing w:after="0" w:line="240" w:lineRule="auto"/>
    </w:pPr>
    <w:rPr>
      <w:rFonts w:ascii="Microsoft Sans Serif" w:eastAsia="Microsoft Sans Serif" w:hAnsi="Microsoft Sans Serif" w:cs="Microsoft Sans Serif"/>
      <w:color w:val="000000"/>
      <w:kern w:val="0"/>
      <w:lang w:val="ro-RO" w:eastAsia="ro-RO" w:bidi="ro-RO"/>
      <w14:ligatures w14:val="none"/>
    </w:rPr>
  </w:style>
  <w:style w:type="character" w:customStyle="1" w:styleId="NoSpacingChar">
    <w:name w:val="No Spacing Char"/>
    <w:link w:val="NoSpacing"/>
    <w:uiPriority w:val="1"/>
    <w:qFormat/>
    <w:locked/>
    <w:rsid w:val="00171475"/>
    <w:rPr>
      <w:rFonts w:ascii="Microsoft Sans Serif" w:eastAsia="Microsoft Sans Serif" w:hAnsi="Microsoft Sans Serif" w:cs="Microsoft Sans Serif"/>
      <w:color w:val="000000"/>
      <w:kern w:val="0"/>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Cojocaru</dc:creator>
  <cp:keywords/>
  <dc:description/>
  <cp:lastModifiedBy>Victor Cojocaru</cp:lastModifiedBy>
  <cp:revision>1</cp:revision>
  <dcterms:created xsi:type="dcterms:W3CDTF">2026-01-29T07:13:00Z</dcterms:created>
  <dcterms:modified xsi:type="dcterms:W3CDTF">2026-01-29T07:14:00Z</dcterms:modified>
</cp:coreProperties>
</file>