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C3C5" w14:textId="77777777" w:rsidR="00422EAB" w:rsidRDefault="002C32BC">
      <w:pPr>
        <w:keepNext/>
        <w:spacing w:after="0" w:line="240" w:lineRule="auto"/>
        <w:jc w:val="center"/>
        <w:outlineLvl w:val="0"/>
        <w:rPr>
          <w:rFonts w:ascii="Times New Roman" w:hAnsi="Times New Roman"/>
          <w:b/>
          <w:bCs/>
          <w:kern w:val="32"/>
          <w:sz w:val="24"/>
          <w:szCs w:val="24"/>
          <w:lang w:val="ro-RO"/>
        </w:rPr>
      </w:pPr>
      <w:r>
        <w:rPr>
          <w:rFonts w:ascii="Times New Roman" w:hAnsi="Times New Roman"/>
          <w:b/>
          <w:bCs/>
          <w:kern w:val="32"/>
          <w:sz w:val="24"/>
          <w:szCs w:val="24"/>
          <w:lang w:val="ro-RO"/>
        </w:rPr>
        <w:t xml:space="preserve">Rezumatul activității și a rezultatelor obținute în </w:t>
      </w:r>
      <w:r>
        <w:rPr>
          <w:rFonts w:ascii="Times New Roman" w:hAnsi="Times New Roman"/>
          <w:b/>
          <w:color w:val="000000"/>
          <w:kern w:val="32"/>
          <w:sz w:val="24"/>
          <w:szCs w:val="24"/>
          <w:lang w:val="ro-RO"/>
        </w:rPr>
        <w:t>subprogram</w:t>
      </w:r>
      <w:r>
        <w:rPr>
          <w:rFonts w:ascii="Times New Roman" w:hAnsi="Times New Roman"/>
          <w:b/>
          <w:bCs/>
          <w:kern w:val="32"/>
          <w:sz w:val="24"/>
          <w:szCs w:val="24"/>
          <w:lang w:val="ro-RO"/>
        </w:rPr>
        <w:t xml:space="preserve"> în anul 2025</w:t>
      </w:r>
    </w:p>
    <w:p w14:paraId="3F0E124B" w14:textId="77777777" w:rsidR="00422EAB" w:rsidRDefault="002C32BC">
      <w:pPr>
        <w:spacing w:after="0" w:line="240" w:lineRule="auto"/>
        <w:jc w:val="center"/>
        <w:rPr>
          <w:rFonts w:ascii="Times New Roman" w:hAnsi="Times New Roman"/>
          <w:b/>
          <w:bCs/>
          <w:shd w:val="clear" w:color="auto" w:fill="FFFFFF"/>
          <w:lang w:val="ro-RO"/>
        </w:rPr>
      </w:pPr>
      <w:r>
        <w:rPr>
          <w:rFonts w:ascii="Times New Roman" w:hAnsi="Times New Roman"/>
          <w:b/>
          <w:bCs/>
          <w:sz w:val="24"/>
          <w:szCs w:val="24"/>
          <w:shd w:val="clear" w:color="auto" w:fill="FFFFFF"/>
          <w:lang w:val="ro-RO"/>
        </w:rPr>
        <w:t xml:space="preserve">Consolidarea mecanismelor socio-economice și juridice de asigurare a bunăstării și </w:t>
      </w:r>
      <w:r>
        <w:rPr>
          <w:rFonts w:ascii="Times New Roman" w:hAnsi="Times New Roman"/>
          <w:b/>
          <w:bCs/>
          <w:shd w:val="clear" w:color="auto" w:fill="FFFFFF"/>
          <w:lang w:val="ro-RO"/>
        </w:rPr>
        <w:t>securității cetățenilor (</w:t>
      </w:r>
      <w:r>
        <w:rPr>
          <w:rFonts w:ascii="Times New Roman" w:eastAsia="Times New Roman" w:hAnsi="Times New Roman"/>
          <w:b/>
          <w:lang w:val="ro-RO"/>
        </w:rPr>
        <w:t>CONSEJ)</w:t>
      </w:r>
    </w:p>
    <w:p w14:paraId="19E08F4A" w14:textId="28FA983A" w:rsidR="00422EAB" w:rsidRDefault="002C32BC">
      <w:pPr>
        <w:spacing w:after="0" w:line="240" w:lineRule="auto"/>
        <w:jc w:val="both"/>
        <w:rPr>
          <w:rFonts w:ascii="Times New Roman" w:hAnsi="Times New Roman"/>
          <w:b/>
          <w:bCs/>
          <w:shd w:val="clear" w:color="auto" w:fill="FFFFFF"/>
          <w:lang w:val="ro-RO"/>
        </w:rPr>
      </w:pPr>
      <w:r>
        <w:rPr>
          <w:rFonts w:ascii="Times New Roman" w:hAnsi="Times New Roman"/>
          <w:b/>
          <w:lang w:val="ro-RO"/>
        </w:rPr>
        <w:t xml:space="preserve">Codul </w:t>
      </w:r>
      <w:r>
        <w:rPr>
          <w:rFonts w:ascii="Times New Roman" w:hAnsi="Times New Roman"/>
          <w:b/>
          <w:color w:val="000000"/>
          <w:kern w:val="32"/>
          <w:lang w:val="ro-RO"/>
        </w:rPr>
        <w:t>subprogram</w:t>
      </w:r>
      <w:r>
        <w:rPr>
          <w:rFonts w:ascii="Times New Roman" w:hAnsi="Times New Roman"/>
          <w:b/>
          <w:lang w:val="ro-RO"/>
        </w:rPr>
        <w:t xml:space="preserve">ului </w:t>
      </w:r>
      <w:r>
        <w:rPr>
          <w:rFonts w:ascii="Times New Roman" w:hAnsi="Times New Roman"/>
          <w:b/>
          <w:bCs/>
          <w:shd w:val="clear" w:color="auto" w:fill="FFFFFF"/>
          <w:lang w:val="ro-RO"/>
        </w:rPr>
        <w:t>01</w:t>
      </w:r>
      <w:r>
        <w:rPr>
          <w:rFonts w:ascii="Times New Roman" w:hAnsi="Times New Roman"/>
          <w:b/>
          <w:bCs/>
          <w:shd w:val="clear" w:color="auto" w:fill="FFFFFF"/>
          <w:lang w:val="ro-RO"/>
        </w:rPr>
        <w:t>05</w:t>
      </w:r>
      <w:r>
        <w:rPr>
          <w:rFonts w:ascii="Times New Roman" w:hAnsi="Times New Roman"/>
          <w:b/>
          <w:bCs/>
          <w:shd w:val="clear" w:color="auto" w:fill="FFFFFF"/>
          <w:lang w:val="ro-RO"/>
        </w:rPr>
        <w:t>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422EAB" w14:paraId="4D98FC4C" w14:textId="77777777" w:rsidTr="00454D49">
        <w:tc>
          <w:tcPr>
            <w:tcW w:w="5000" w:type="pct"/>
            <w:shd w:val="clear" w:color="auto" w:fill="auto"/>
          </w:tcPr>
          <w:p w14:paraId="49C5FFC1"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 xml:space="preserve">În anul 2025, </w:t>
            </w:r>
            <w:r w:rsidRPr="00454D49">
              <w:rPr>
                <w:rFonts w:ascii="Times New Roman" w:eastAsia="Times New Roman" w:hAnsi="Times New Roman"/>
                <w:sz w:val="24"/>
                <w:szCs w:val="24"/>
                <w:lang w:val="ro-RO" w:eastAsia="ro-RO"/>
              </w:rPr>
              <w:t>echipa subprogramului a avansat în mod consecvent spre identificarea mecanismelor de asigurare a securității și bunăstării cetățenilor, printr-un ansamblu coerent de rezultate teoretico-metodologice, investigații empirice și produse aplicative cu relevanță</w:t>
            </w:r>
            <w:r w:rsidRPr="00454D49">
              <w:rPr>
                <w:rFonts w:ascii="Times New Roman" w:eastAsia="Times New Roman" w:hAnsi="Times New Roman"/>
                <w:sz w:val="24"/>
                <w:szCs w:val="24"/>
                <w:lang w:val="ro-RO" w:eastAsia="ro-RO"/>
              </w:rPr>
              <w:t xml:space="preserve"> directă pentru formularea politicilor publice și optimizarea procesului educațional universitar. Activitatea s-a caracterizat prin realizarea integrală a planurilor de cercetare, intensificarea diseminării științifice și orientarea fermă spre instrumente </w:t>
            </w:r>
            <w:r w:rsidRPr="00454D49">
              <w:rPr>
                <w:rFonts w:ascii="Times New Roman" w:eastAsia="Times New Roman" w:hAnsi="Times New Roman"/>
                <w:sz w:val="24"/>
                <w:szCs w:val="24"/>
                <w:lang w:val="ro-RO" w:eastAsia="ro-RO"/>
              </w:rPr>
              <w:t>măsurabile – metodologii, chestionare, seturi de indicatori și analize validate academic și instituțional.</w:t>
            </w:r>
          </w:p>
          <w:p w14:paraId="4BF16162"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O direcție majoră de cercetare a vizat aprofundarea relației dintre democrație, statul de drept și statul social, demonstrând că securitatea și bunăs</w:t>
            </w:r>
            <w:r w:rsidRPr="00454D49">
              <w:rPr>
                <w:rFonts w:ascii="Times New Roman" w:eastAsia="Times New Roman" w:hAnsi="Times New Roman"/>
                <w:sz w:val="24"/>
                <w:szCs w:val="24"/>
                <w:lang w:val="ro-RO" w:eastAsia="ro-RO"/>
              </w:rPr>
              <w:t>tarea cetățenilor constituie o prerogativă esențială a statului social. Studiile realizate au evidențiat rolul constituționalismului în protejarea drepturilor sociale și în prevenirea conflictelor, precum și importanța motivării deciziilor judiciare în con</w:t>
            </w:r>
            <w:r w:rsidRPr="00454D49">
              <w:rPr>
                <w:rFonts w:ascii="Times New Roman" w:eastAsia="Times New Roman" w:hAnsi="Times New Roman"/>
                <w:sz w:val="24"/>
                <w:szCs w:val="24"/>
                <w:lang w:val="ro-RO" w:eastAsia="ro-RO"/>
              </w:rPr>
              <w:t>solidarea încrederii publice în instituțiile statului. Analiza jurisprudenței Curții Constituționale a confirmat obligația statului de a garanta un nivel de trai decent și de a asigura mecanisme reale de protecție socială.</w:t>
            </w:r>
          </w:p>
          <w:p w14:paraId="0631D761"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 xml:space="preserve">Un alt set relevant de rezultate </w:t>
            </w:r>
            <w:r w:rsidRPr="00454D49">
              <w:rPr>
                <w:rFonts w:ascii="Times New Roman" w:eastAsia="Times New Roman" w:hAnsi="Times New Roman"/>
                <w:sz w:val="24"/>
                <w:szCs w:val="24"/>
                <w:lang w:val="ro-RO" w:eastAsia="ro-RO"/>
              </w:rPr>
              <w:t>a vizat domeniul securității și sănătății în muncă și regimul juridic aplicabil refugiaților, fiind identificate tipurile de contravenții, elementele constitutive și tendințele statistice pe baza datelor furnizate de autoritățile competente. Analiza cadrul</w:t>
            </w:r>
            <w:r w:rsidRPr="00454D49">
              <w:rPr>
                <w:rFonts w:ascii="Times New Roman" w:eastAsia="Times New Roman" w:hAnsi="Times New Roman"/>
                <w:sz w:val="24"/>
                <w:szCs w:val="24"/>
                <w:lang w:val="ro-RO" w:eastAsia="ro-RO"/>
              </w:rPr>
              <w:t xml:space="preserve">ui normativ privind protecția socială, corelată cu bunele practici europene, a evidențiat necesitatea modernizării procesului legislativ printr-o guvernanță participativă și prin utilizarea dovezilor empirice în procesul decizional. În domeniul sănătății, </w:t>
            </w:r>
            <w:r w:rsidRPr="00454D49">
              <w:rPr>
                <w:rFonts w:ascii="Times New Roman" w:eastAsia="Times New Roman" w:hAnsi="Times New Roman"/>
                <w:sz w:val="24"/>
                <w:szCs w:val="24"/>
                <w:lang w:val="ro-RO" w:eastAsia="ro-RO"/>
              </w:rPr>
              <w:t>a fost elaborată o analiză detaliată a gradului de armonizare a legislației naționale cu directivele și recomandările Uniunii Europene, fiind conturate direcțiile strategice de îmbunătățire a asigurării obligatorii de asistență medicală.</w:t>
            </w:r>
          </w:p>
          <w:p w14:paraId="4120517F"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În aria finanțelor</w:t>
            </w:r>
            <w:r w:rsidRPr="00454D49">
              <w:rPr>
                <w:rFonts w:ascii="Times New Roman" w:eastAsia="Times New Roman" w:hAnsi="Times New Roman"/>
                <w:sz w:val="24"/>
                <w:szCs w:val="24"/>
                <w:lang w:val="ro-RO" w:eastAsia="ro-RO"/>
              </w:rPr>
              <w:t xml:space="preserve"> publice și bunăstării economice, cercetarea a evidențiat impactul structurii bugetare, guvernanței fiscale și conformării voluntare asupra calității vieții. Activitatea empirică privind educația financiară a tinerilor și reziliența financiară a gospodării</w:t>
            </w:r>
            <w:r w:rsidRPr="00454D49">
              <w:rPr>
                <w:rFonts w:ascii="Times New Roman" w:eastAsia="Times New Roman" w:hAnsi="Times New Roman"/>
                <w:sz w:val="24"/>
                <w:szCs w:val="24"/>
                <w:lang w:val="ro-RO" w:eastAsia="ro-RO"/>
              </w:rPr>
              <w:t>lor a generat instrumente educaționale inovative (curriculum, suport de curs, chestionare), precum și analize statistice complexe, valorificate în publicații, conferințe și recomandări sectoriale adresate instituțiilor relevante. De asemenea, au fost ident</w:t>
            </w:r>
            <w:r w:rsidRPr="00454D49">
              <w:rPr>
                <w:rFonts w:ascii="Times New Roman" w:eastAsia="Times New Roman" w:hAnsi="Times New Roman"/>
                <w:sz w:val="24"/>
                <w:szCs w:val="24"/>
                <w:lang w:val="ro-RO" w:eastAsia="ro-RO"/>
              </w:rPr>
              <w:t>ificate modele internaționale de alfabetizare financiară, cu propuneri de adaptare la contextul Republicii Moldova.</w:t>
            </w:r>
          </w:p>
          <w:p w14:paraId="0FE343E4"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Pe dimensiunea metodologică, un rezultat substanțial îl constituie elaborarea cadrului pentru Indexul Național de Evaluare a Bunăstării Econ</w:t>
            </w:r>
            <w:r w:rsidRPr="00454D49">
              <w:rPr>
                <w:rFonts w:ascii="Times New Roman" w:eastAsia="Times New Roman" w:hAnsi="Times New Roman"/>
                <w:sz w:val="24"/>
                <w:szCs w:val="24"/>
                <w:lang w:val="ro-RO" w:eastAsia="ro-RO"/>
              </w:rPr>
              <w:t xml:space="preserve">omice, fundamentat pe o analiză sistematică a literaturii internaționale și pe definirea unui set preliminar de indicatori privind resursele materiale, sănătatea, educația, mediul, coeziunea socială și participarea civică. </w:t>
            </w:r>
          </w:p>
          <w:p w14:paraId="1CB031A3"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În paralel, cercetările tematice</w:t>
            </w:r>
            <w:r w:rsidRPr="00454D49">
              <w:rPr>
                <w:rFonts w:ascii="Times New Roman" w:eastAsia="Times New Roman" w:hAnsi="Times New Roman"/>
                <w:sz w:val="24"/>
                <w:szCs w:val="24"/>
                <w:lang w:val="ro-RO" w:eastAsia="ro-RO"/>
              </w:rPr>
              <w:t xml:space="preserve"> au consolidat abordarea multidimensională a bunăstării prin studii asupra pieței muncii, echilibrului muncă–viață, bunăstării subiective, mediului, participării civice și noilor forme de vulnerabilitate socială. Totodată, cercetările sectoriale privind tu</w:t>
            </w:r>
            <w:r w:rsidRPr="00454D49">
              <w:rPr>
                <w:rFonts w:ascii="Times New Roman" w:eastAsia="Times New Roman" w:hAnsi="Times New Roman"/>
                <w:sz w:val="24"/>
                <w:szCs w:val="24"/>
                <w:lang w:val="ro-RO" w:eastAsia="ro-RO"/>
              </w:rPr>
              <w:t>rismul durabil, competitivitatea economică, reziliența climatică și securitatea energetică au generat publicații în reviste internaționale și au intensificat cooperarea academică prin mobilități, conferințe și proiecte internaționale.</w:t>
            </w:r>
          </w:p>
          <w:p w14:paraId="2E6CE959"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În plan organizaționa</w:t>
            </w:r>
            <w:r w:rsidRPr="00454D49">
              <w:rPr>
                <w:rFonts w:ascii="Times New Roman" w:eastAsia="Times New Roman" w:hAnsi="Times New Roman"/>
                <w:sz w:val="24"/>
                <w:szCs w:val="24"/>
                <w:lang w:val="ro-RO" w:eastAsia="ro-RO"/>
              </w:rPr>
              <w:t>l, cercetările privind managementul performanței și bunăstarea angajaților au condus la dezvoltarea unor instrumente metodologice robuste (chestionar multidimensional, ipoteze operaționalizate) și la consolidarea vizibilității instituționale prin activităț</w:t>
            </w:r>
            <w:r w:rsidRPr="00454D49">
              <w:rPr>
                <w:rFonts w:ascii="Times New Roman" w:eastAsia="Times New Roman" w:hAnsi="Times New Roman"/>
                <w:sz w:val="24"/>
                <w:szCs w:val="24"/>
                <w:lang w:val="ro-RO" w:eastAsia="ro-RO"/>
              </w:rPr>
              <w:t>i de expertiză și diseminare.</w:t>
            </w:r>
          </w:p>
          <w:p w14:paraId="04F1DC31" w14:textId="33D72F4C"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În ansamblu, rezultatele obținute în anul 2025 confirmă capacitatea echipei de a integra cercetarea fundamentală cu cea aplicată, de a genera cunoaștere relevantă pentru politicile publice și de a susține dezvoltarea instituți</w:t>
            </w:r>
            <w:r w:rsidRPr="00454D49">
              <w:rPr>
                <w:rFonts w:ascii="Times New Roman" w:eastAsia="Times New Roman" w:hAnsi="Times New Roman"/>
                <w:sz w:val="24"/>
                <w:szCs w:val="24"/>
                <w:lang w:val="ro-RO" w:eastAsia="ro-RO"/>
              </w:rPr>
              <w:t>onală prin instrumente riguroase și transfer de expertiză. Aceste rezultate consolidează premisele pentru continuarea programului în direcția promovării bunăstării, securității și rezilienței cetățenilor într-un stat democratic și social modern.</w:t>
            </w:r>
          </w:p>
        </w:tc>
      </w:tr>
    </w:tbl>
    <w:p w14:paraId="015F40B3" w14:textId="521AD860" w:rsidR="00422EAB" w:rsidRDefault="002C32BC">
      <w:pPr>
        <w:pStyle w:val="Frspaiere"/>
        <w:jc w:val="center"/>
        <w:rPr>
          <w:rFonts w:ascii="Times New Roman" w:eastAsia="Calibri" w:hAnsi="Times New Roman" w:cs="Times New Roman"/>
          <w:b/>
          <w:bCs/>
          <w:color w:val="auto"/>
          <w:kern w:val="32"/>
          <w:sz w:val="22"/>
          <w:szCs w:val="22"/>
          <w:lang w:val="en-GB" w:eastAsia="en-US" w:bidi="ar-SA"/>
        </w:rPr>
      </w:pPr>
      <w:r>
        <w:rPr>
          <w:rFonts w:ascii="Times New Roman" w:eastAsia="Calibri" w:hAnsi="Times New Roman" w:cs="Times New Roman"/>
          <w:b/>
          <w:bCs/>
          <w:color w:val="auto"/>
          <w:kern w:val="32"/>
          <w:sz w:val="22"/>
          <w:szCs w:val="22"/>
          <w:lang w:val="en-GB" w:eastAsia="en-US" w:bidi="ar-SA"/>
        </w:rPr>
        <w:lastRenderedPageBreak/>
        <w:t xml:space="preserve">Summary of the activity and results obtained in the sub-programme in 2025 </w:t>
      </w:r>
    </w:p>
    <w:p w14:paraId="3E41BF4F" w14:textId="77777777" w:rsidR="00422EAB" w:rsidRDefault="002C32BC">
      <w:pPr>
        <w:pStyle w:val="Frspaiere"/>
        <w:jc w:val="center"/>
        <w:rPr>
          <w:rFonts w:ascii="Times New Roman" w:hAnsi="Times New Roman" w:cs="Times New Roman"/>
          <w:b/>
          <w:color w:val="auto"/>
          <w:sz w:val="22"/>
          <w:szCs w:val="22"/>
          <w:lang w:val="en-GB"/>
        </w:rPr>
      </w:pPr>
      <w:r>
        <w:rPr>
          <w:rFonts w:ascii="Times New Roman" w:hAnsi="Times New Roman" w:cs="Times New Roman"/>
          <w:b/>
          <w:color w:val="auto"/>
          <w:sz w:val="22"/>
          <w:szCs w:val="22"/>
          <w:lang w:val="en-GB"/>
        </w:rPr>
        <w:t>Strengthening socio-economic and legal mechanisms to ensure the well-being and security of citizens (CONSEJ)</w:t>
      </w:r>
    </w:p>
    <w:p w14:paraId="7B5520F3" w14:textId="393C300E" w:rsidR="00422EAB" w:rsidRDefault="002C32BC" w:rsidP="00454D49">
      <w:pPr>
        <w:spacing w:after="0" w:line="240" w:lineRule="auto"/>
        <w:rPr>
          <w:rFonts w:ascii="Times New Roman" w:hAnsi="Times New Roman"/>
          <w:b/>
          <w:bCs/>
          <w:shd w:val="clear" w:color="auto" w:fill="FFFFFF"/>
          <w:lang w:val="ro-RO"/>
        </w:rPr>
      </w:pPr>
      <w:r>
        <w:rPr>
          <w:rFonts w:ascii="Times New Roman" w:hAnsi="Times New Roman"/>
          <w:b/>
          <w:lang w:val="en-GB"/>
        </w:rPr>
        <w:t xml:space="preserve">Subprogram code </w:t>
      </w:r>
      <w:r>
        <w:rPr>
          <w:rFonts w:ascii="Times New Roman" w:hAnsi="Times New Roman"/>
          <w:b/>
          <w:bCs/>
          <w:shd w:val="clear" w:color="auto" w:fill="FFFFFF"/>
          <w:lang w:val="ro-RO"/>
        </w:rPr>
        <w:t>01</w:t>
      </w:r>
      <w:r>
        <w:rPr>
          <w:rFonts w:ascii="Times New Roman" w:hAnsi="Times New Roman"/>
          <w:b/>
          <w:bCs/>
          <w:shd w:val="clear" w:color="auto" w:fill="FFFFFF"/>
          <w:lang w:val="ro-RO"/>
        </w:rPr>
        <w:t>05</w:t>
      </w:r>
      <w:r>
        <w:rPr>
          <w:rFonts w:ascii="Times New Roman" w:hAnsi="Times New Roman"/>
          <w:b/>
          <w:bCs/>
          <w:shd w:val="clear" w:color="auto" w:fill="FFFFFF"/>
          <w:lang w:val="ro-RO"/>
        </w:rPr>
        <w:t>02</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422EAB" w14:paraId="61A65070" w14:textId="77777777" w:rsidTr="00454D49">
        <w:tc>
          <w:tcPr>
            <w:tcW w:w="5000" w:type="pct"/>
            <w:tcBorders>
              <w:top w:val="single" w:sz="4" w:space="0" w:color="auto"/>
              <w:left w:val="single" w:sz="4" w:space="0" w:color="auto"/>
              <w:bottom w:val="single" w:sz="4" w:space="0" w:color="auto"/>
              <w:right w:val="single" w:sz="4" w:space="0" w:color="auto"/>
            </w:tcBorders>
          </w:tcPr>
          <w:p w14:paraId="0BDDFB1F"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In 2025, the subprogram team made consistent pr</w:t>
            </w:r>
            <w:r w:rsidRPr="00454D49">
              <w:rPr>
                <w:rFonts w:ascii="Times New Roman" w:eastAsia="Times New Roman" w:hAnsi="Times New Roman"/>
                <w:sz w:val="24"/>
                <w:szCs w:val="24"/>
                <w:lang w:val="ro-RO" w:eastAsia="ro-RO"/>
              </w:rPr>
              <w:t>ogress in identifying mechanisms for ensuring the security and well-being of citizens through a coherent set of theoretical-methodological results, empirical investigations, and applied outputs with direct relevance for public policy formulation and the op</w:t>
            </w:r>
            <w:r w:rsidRPr="00454D49">
              <w:rPr>
                <w:rFonts w:ascii="Times New Roman" w:eastAsia="Times New Roman" w:hAnsi="Times New Roman"/>
                <w:sz w:val="24"/>
                <w:szCs w:val="24"/>
                <w:lang w:val="ro-RO" w:eastAsia="ro-RO"/>
              </w:rPr>
              <w:t>timization of the university educational process. The activity was characterized by the full implementation of research plans, intensified scientific dissemination, and a firm orientation toward measurable instruments-methodologies, questionnaires, sets of</w:t>
            </w:r>
            <w:r w:rsidRPr="00454D49">
              <w:rPr>
                <w:rFonts w:ascii="Times New Roman" w:eastAsia="Times New Roman" w:hAnsi="Times New Roman"/>
                <w:sz w:val="24"/>
                <w:szCs w:val="24"/>
                <w:lang w:val="ro-RO" w:eastAsia="ro-RO"/>
              </w:rPr>
              <w:t xml:space="preserve"> indicators, and analyses validated both academically and institutionally.</w:t>
            </w:r>
          </w:p>
          <w:p w14:paraId="5DF79D04"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 xml:space="preserve">A major research direction focused on deepening the relationship between democracy, the rule of law, and the social state, demonstrating that the security and well-being of </w:t>
            </w:r>
            <w:r w:rsidRPr="00454D49">
              <w:rPr>
                <w:rFonts w:ascii="Times New Roman" w:eastAsia="Times New Roman" w:hAnsi="Times New Roman"/>
                <w:sz w:val="24"/>
                <w:szCs w:val="24"/>
                <w:lang w:val="ro-RO" w:eastAsia="ro-RO"/>
              </w:rPr>
              <w:t>citizens constitute an essential prerogative of the social state. The conducted studies highlighted the role of constitutionalism in protecting social rights and preventing conflicts, as well as the importance of reasoned judicial decisions in strengthenin</w:t>
            </w:r>
            <w:r w:rsidRPr="00454D49">
              <w:rPr>
                <w:rFonts w:ascii="Times New Roman" w:eastAsia="Times New Roman" w:hAnsi="Times New Roman"/>
                <w:sz w:val="24"/>
                <w:szCs w:val="24"/>
                <w:lang w:val="ro-RO" w:eastAsia="ro-RO"/>
              </w:rPr>
              <w:t>g public trust in state institutions. The analysis of the Constitutional Court’s jurisprudence confirmed the state’s obligation to guarantee a decent standard of living and to ensure effective mechanisms of social protection.</w:t>
            </w:r>
          </w:p>
          <w:p w14:paraId="7F4F8A9A"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 xml:space="preserve">Another relevant set of </w:t>
            </w:r>
            <w:r w:rsidRPr="00454D49">
              <w:rPr>
                <w:rFonts w:ascii="Times New Roman" w:eastAsia="Times New Roman" w:hAnsi="Times New Roman"/>
                <w:sz w:val="24"/>
                <w:szCs w:val="24"/>
                <w:lang w:val="ro-RO" w:eastAsia="ro-RO"/>
              </w:rPr>
              <w:t>results targeted the field of occupational safety and health and the legal regime applicable to refugees, identifying types of contraventions, constitutive elements, and statistical trends based on data provided by the competent authorities. The analysis o</w:t>
            </w:r>
            <w:r w:rsidRPr="00454D49">
              <w:rPr>
                <w:rFonts w:ascii="Times New Roman" w:eastAsia="Times New Roman" w:hAnsi="Times New Roman"/>
                <w:sz w:val="24"/>
                <w:szCs w:val="24"/>
                <w:lang w:val="ro-RO" w:eastAsia="ro-RO"/>
              </w:rPr>
              <w:t>f the normative framework on social protection, correlated with European best practices, emphasized the need to modernize the legislative process through participatory governance and the use of empirical evidence in decision-making. In the field of health,</w:t>
            </w:r>
            <w:r w:rsidRPr="00454D49">
              <w:rPr>
                <w:rFonts w:ascii="Times New Roman" w:eastAsia="Times New Roman" w:hAnsi="Times New Roman"/>
                <w:sz w:val="24"/>
                <w:szCs w:val="24"/>
                <w:lang w:val="ro-RO" w:eastAsia="ro-RO"/>
              </w:rPr>
              <w:t xml:space="preserve"> a detailed analysis was developed on the degree of harmonization between national legislation and European Union directives and recommendations, outlining strategic directions for improving mandatory health insurance.</w:t>
            </w:r>
          </w:p>
          <w:p w14:paraId="29852238"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In the area of public finance and eco</w:t>
            </w:r>
            <w:r w:rsidRPr="00454D49">
              <w:rPr>
                <w:rFonts w:ascii="Times New Roman" w:eastAsia="Times New Roman" w:hAnsi="Times New Roman"/>
                <w:sz w:val="24"/>
                <w:szCs w:val="24"/>
                <w:lang w:val="ro-RO" w:eastAsia="ro-RO"/>
              </w:rPr>
              <w:t>nomic well-being, the research highlighted the impact of budgetary structure, fiscal governance, and voluntary compliance on quality of life. Empirical activity concerning the financial education of young people and the financial resilience of households g</w:t>
            </w:r>
            <w:r w:rsidRPr="00454D49">
              <w:rPr>
                <w:rFonts w:ascii="Times New Roman" w:eastAsia="Times New Roman" w:hAnsi="Times New Roman"/>
                <w:sz w:val="24"/>
                <w:szCs w:val="24"/>
                <w:lang w:val="ro-RO" w:eastAsia="ro-RO"/>
              </w:rPr>
              <w:t>enerated innovative educational tools (curriculum, course materials, questionnaires), as well as complex statistical analyses valorized in publications, conferences, and sectoral recommendations addressed to relevant institutions. Additionally, internation</w:t>
            </w:r>
            <w:r w:rsidRPr="00454D49">
              <w:rPr>
                <w:rFonts w:ascii="Times New Roman" w:eastAsia="Times New Roman" w:hAnsi="Times New Roman"/>
                <w:sz w:val="24"/>
                <w:szCs w:val="24"/>
                <w:lang w:val="ro-RO" w:eastAsia="ro-RO"/>
              </w:rPr>
              <w:t>al models of financial literacy were identified, with proposals for their adaptation to the context of the Republic of Moldova.</w:t>
            </w:r>
          </w:p>
          <w:p w14:paraId="737E83F3"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 xml:space="preserve">On the methodological dimension, a substantial result was the development of the framework for the National Index for Assessing </w:t>
            </w:r>
            <w:r w:rsidRPr="00454D49">
              <w:rPr>
                <w:rFonts w:ascii="Times New Roman" w:eastAsia="Times New Roman" w:hAnsi="Times New Roman"/>
                <w:sz w:val="24"/>
                <w:szCs w:val="24"/>
                <w:lang w:val="ro-RO" w:eastAsia="ro-RO"/>
              </w:rPr>
              <w:t>Economic Well-Being, based on a systematic analysis of international literature and the definition of a preliminary set of indicators related to material resources, health, education, the environment, social cohesion, and civic participation.</w:t>
            </w:r>
          </w:p>
          <w:p w14:paraId="5798F7AA"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 xml:space="preserve">In parallel, </w:t>
            </w:r>
            <w:r w:rsidRPr="00454D49">
              <w:rPr>
                <w:rFonts w:ascii="Times New Roman" w:eastAsia="Times New Roman" w:hAnsi="Times New Roman"/>
                <w:sz w:val="24"/>
                <w:szCs w:val="24"/>
                <w:lang w:val="ro-RO" w:eastAsia="ro-RO"/>
              </w:rPr>
              <w:t>thematic research strengthened the multidimensional approach to well-being through studies on the labor market, work–life balance, subjective well-being, the environment, civic participation, and new forms of social vulnerability. Sectoral research on sust</w:t>
            </w:r>
            <w:r w:rsidRPr="00454D49">
              <w:rPr>
                <w:rFonts w:ascii="Times New Roman" w:eastAsia="Times New Roman" w:hAnsi="Times New Roman"/>
                <w:sz w:val="24"/>
                <w:szCs w:val="24"/>
                <w:lang w:val="ro-RO" w:eastAsia="ro-RO"/>
              </w:rPr>
              <w:t>ainable tourism, economic competitiveness, climate resilience, and energy security generated publications in international journals and enhanced academic cooperation through mobilities, conferences, and international projects.</w:t>
            </w:r>
          </w:p>
          <w:p w14:paraId="22620E4D" w14:textId="77777777" w:rsidR="00422EAB" w:rsidRPr="00454D49" w:rsidRDefault="002C32BC" w:rsidP="00454D49">
            <w:pPr>
              <w:spacing w:after="0" w:line="240" w:lineRule="auto"/>
              <w:jc w:val="both"/>
              <w:rPr>
                <w:rFonts w:ascii="Times New Roman" w:eastAsia="Times New Roman" w:hAnsi="Times New Roman"/>
                <w:sz w:val="24"/>
                <w:szCs w:val="24"/>
                <w:lang w:val="ro-RO" w:eastAsia="ro-RO"/>
              </w:rPr>
            </w:pPr>
            <w:r w:rsidRPr="00454D49">
              <w:rPr>
                <w:rFonts w:ascii="Times New Roman" w:eastAsia="Times New Roman" w:hAnsi="Times New Roman"/>
                <w:sz w:val="24"/>
                <w:szCs w:val="24"/>
                <w:lang w:val="ro-RO" w:eastAsia="ro-RO"/>
              </w:rPr>
              <w:t xml:space="preserve">At the organizational level, </w:t>
            </w:r>
            <w:r w:rsidRPr="00454D49">
              <w:rPr>
                <w:rFonts w:ascii="Times New Roman" w:eastAsia="Times New Roman" w:hAnsi="Times New Roman"/>
                <w:sz w:val="24"/>
                <w:szCs w:val="24"/>
                <w:lang w:val="ro-RO" w:eastAsia="ro-RO"/>
              </w:rPr>
              <w:t>research on performance management and employee well-being led to the development of robust methodological tools (a multidimensional questionnaire, operationalized hypotheses) and to strengthened institutional visibility through expertise and dissemination</w:t>
            </w:r>
            <w:r w:rsidRPr="00454D49">
              <w:rPr>
                <w:rFonts w:ascii="Times New Roman" w:eastAsia="Times New Roman" w:hAnsi="Times New Roman"/>
                <w:sz w:val="24"/>
                <w:szCs w:val="24"/>
                <w:lang w:val="ro-RO" w:eastAsia="ro-RO"/>
              </w:rPr>
              <w:t xml:space="preserve"> activities.</w:t>
            </w:r>
          </w:p>
          <w:p w14:paraId="26CB55C6" w14:textId="77777777" w:rsidR="00422EAB" w:rsidRDefault="002C32BC" w:rsidP="00454D49">
            <w:pPr>
              <w:spacing w:after="0" w:line="240" w:lineRule="auto"/>
              <w:jc w:val="both"/>
              <w:rPr>
                <w:rFonts w:ascii="Times New Roman" w:hAnsi="Times New Roman"/>
                <w:bCs/>
                <w:lang w:val="ro-RO"/>
              </w:rPr>
            </w:pPr>
            <w:r w:rsidRPr="00454D49">
              <w:rPr>
                <w:rFonts w:ascii="Times New Roman" w:eastAsia="Times New Roman" w:hAnsi="Times New Roman"/>
                <w:sz w:val="24"/>
                <w:szCs w:val="24"/>
                <w:lang w:val="ro-RO" w:eastAsia="ro-RO"/>
              </w:rPr>
              <w:t>Overall, the results obtained in 2025 confirm the team’s ability to integrate fundamental and applied research, to generate knowledge relevant to public policy, and to support institutional development through rigorous instruments and the tran</w:t>
            </w:r>
            <w:r w:rsidRPr="00454D49">
              <w:rPr>
                <w:rFonts w:ascii="Times New Roman" w:eastAsia="Times New Roman" w:hAnsi="Times New Roman"/>
                <w:sz w:val="24"/>
                <w:szCs w:val="24"/>
                <w:lang w:val="ro-RO" w:eastAsia="ro-RO"/>
              </w:rPr>
              <w:t>sfer of expertise. These achievements reinforce the foundations for continuing the program in the direction of promoting the well-being, security, and resilience of citizens in a modern democratic and social state.</w:t>
            </w:r>
          </w:p>
        </w:tc>
      </w:tr>
    </w:tbl>
    <w:p w14:paraId="4468CBC7" w14:textId="77777777" w:rsidR="00422EAB" w:rsidRDefault="00422EAB" w:rsidP="00454D49">
      <w:pPr>
        <w:spacing w:after="0" w:line="240" w:lineRule="auto"/>
        <w:rPr>
          <w:rFonts w:ascii="Times New Roman" w:hAnsi="Times New Roman"/>
          <w:lang w:val="ro-RO"/>
        </w:rPr>
      </w:pPr>
    </w:p>
    <w:sectPr w:rsidR="00422EAB" w:rsidSect="00454D49">
      <w:pgSz w:w="11906" w:h="16838"/>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D60C" w14:textId="77777777" w:rsidR="002C32BC" w:rsidRDefault="002C32BC">
      <w:pPr>
        <w:spacing w:line="240" w:lineRule="auto"/>
      </w:pPr>
      <w:r>
        <w:separator/>
      </w:r>
    </w:p>
  </w:endnote>
  <w:endnote w:type="continuationSeparator" w:id="0">
    <w:p w14:paraId="15783F57" w14:textId="77777777" w:rsidR="002C32BC" w:rsidRDefault="002C3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4F32" w14:textId="77777777" w:rsidR="002C32BC" w:rsidRDefault="002C32BC">
      <w:pPr>
        <w:spacing w:after="0"/>
      </w:pPr>
      <w:r>
        <w:separator/>
      </w:r>
    </w:p>
  </w:footnote>
  <w:footnote w:type="continuationSeparator" w:id="0">
    <w:p w14:paraId="07C2372F" w14:textId="77777777" w:rsidR="002C32BC" w:rsidRDefault="002C32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AB"/>
    <w:rsid w:val="002C32BC"/>
    <w:rsid w:val="00340357"/>
    <w:rsid w:val="00422EAB"/>
    <w:rsid w:val="00454D49"/>
    <w:rsid w:val="00C14B79"/>
    <w:rsid w:val="20DC5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203F"/>
  <w15:docId w15:val="{34D1F0DE-7DE6-4D54-BC87-42CF870A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Times New Roman"/>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pPr>
      <w:widowControl w:val="0"/>
    </w:pPr>
    <w:rPr>
      <w:rFonts w:ascii="Microsoft Sans Serif" w:eastAsia="Microsoft Sans Serif" w:hAnsi="Microsoft Sans Serif" w:cs="Microsoft Sans Serif"/>
      <w:color w:val="000000"/>
      <w:sz w:val="24"/>
      <w:szCs w:val="24"/>
      <w:lang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1342</Words>
  <Characters>7788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dc:creator>
  <cp:lastModifiedBy>Garstea</cp:lastModifiedBy>
  <cp:revision>4</cp:revision>
  <dcterms:created xsi:type="dcterms:W3CDTF">2026-01-19T11:29:00Z</dcterms:created>
  <dcterms:modified xsi:type="dcterms:W3CDTF">2026-01-19T11:32:00Z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40786601F64A4609A665F44DCF901971_12</vt:lpwstr>
  </property>
</Properties>
</file>