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48B6" w14:textId="77777777" w:rsidR="00006125" w:rsidRPr="002D761D" w:rsidRDefault="00006125" w:rsidP="005B0BF1">
      <w:pPr>
        <w:pStyle w:val="Default"/>
        <w:jc w:val="center"/>
      </w:pPr>
      <w:r w:rsidRPr="002D761D">
        <w:rPr>
          <w:b/>
          <w:bCs/>
        </w:rPr>
        <w:t>AVIZUL</w:t>
      </w:r>
    </w:p>
    <w:p w14:paraId="47254A5B" w14:textId="77777777" w:rsidR="00006125" w:rsidRPr="002D761D" w:rsidRDefault="00006125" w:rsidP="005B0BF1">
      <w:pPr>
        <w:pStyle w:val="Default"/>
        <w:jc w:val="center"/>
        <w:rPr>
          <w:b/>
          <w:bCs/>
        </w:rPr>
      </w:pPr>
      <w:r w:rsidRPr="002D761D">
        <w:rPr>
          <w:b/>
          <w:bCs/>
        </w:rPr>
        <w:t>Comisiei mixte a Academiei de Științe a Moldovei și Agenției Naționale pentru Cercetare și Dezvoltare</w:t>
      </w:r>
    </w:p>
    <w:p w14:paraId="7CA24F89" w14:textId="77777777" w:rsidR="005B0BF1" w:rsidRDefault="005B0BF1" w:rsidP="005B0BF1">
      <w:pPr>
        <w:pStyle w:val="Default"/>
        <w:jc w:val="center"/>
        <w:rPr>
          <w:sz w:val="23"/>
          <w:szCs w:val="23"/>
        </w:rPr>
      </w:pPr>
    </w:p>
    <w:p w14:paraId="79D229BC" w14:textId="7376E02D" w:rsidR="00006125" w:rsidRPr="00663025" w:rsidRDefault="00006125" w:rsidP="007A6762">
      <w:pPr>
        <w:pStyle w:val="Default"/>
        <w:spacing w:line="288" w:lineRule="auto"/>
        <w:jc w:val="both"/>
        <w:rPr>
          <w:b/>
          <w:bCs/>
          <w:i/>
          <w:lang w:val="ro-RO"/>
        </w:rPr>
      </w:pPr>
      <w:r w:rsidRPr="00E077BC">
        <w:rPr>
          <w:b/>
          <w:bCs/>
        </w:rPr>
        <w:t xml:space="preserve">de audiere </w:t>
      </w:r>
      <w:r w:rsidRPr="00655D4C">
        <w:rPr>
          <w:b/>
          <w:bCs/>
        </w:rPr>
        <w:t xml:space="preserve">publică a rapoartelor </w:t>
      </w:r>
      <w:r w:rsidR="002D761D" w:rsidRPr="00655D4C">
        <w:rPr>
          <w:b/>
          <w:bCs/>
        </w:rPr>
        <w:t>etapa anului 202</w:t>
      </w:r>
      <w:r w:rsidR="007E5ACB" w:rsidRPr="00655D4C">
        <w:rPr>
          <w:b/>
          <w:bCs/>
        </w:rPr>
        <w:t>5</w:t>
      </w:r>
      <w:r w:rsidR="002D761D" w:rsidRPr="00655D4C">
        <w:rPr>
          <w:b/>
          <w:bCs/>
        </w:rPr>
        <w:t xml:space="preserve"> </w:t>
      </w:r>
      <w:r w:rsidRPr="00655D4C">
        <w:rPr>
          <w:b/>
          <w:bCs/>
        </w:rPr>
        <w:t xml:space="preserve">privind implementarea proiectelor de </w:t>
      </w:r>
      <w:r w:rsidR="002D761D" w:rsidRPr="00655D4C">
        <w:rPr>
          <w:b/>
          <w:bCs/>
        </w:rPr>
        <w:t xml:space="preserve">Vouchere Inovaționale, </w:t>
      </w:r>
      <w:r w:rsidR="002D761D" w:rsidRPr="00663025">
        <w:rPr>
          <w:b/>
          <w:bCs/>
        </w:rPr>
        <w:t xml:space="preserve">de Inovare </w:t>
      </w:r>
      <w:r w:rsidR="002D761D" w:rsidRPr="00663025">
        <w:rPr>
          <w:b/>
          <w:bCs/>
          <w:lang w:val="ro-RO"/>
        </w:rPr>
        <w:t>și de Transfer Tehnologic</w:t>
      </w:r>
      <w:r w:rsidRPr="00663025">
        <w:rPr>
          <w:b/>
          <w:bCs/>
        </w:rPr>
        <w:t>, creat</w:t>
      </w:r>
      <w:r w:rsidR="002D761D" w:rsidRPr="00663025">
        <w:rPr>
          <w:b/>
          <w:bCs/>
        </w:rPr>
        <w:t>ă</w:t>
      </w:r>
      <w:r w:rsidRPr="00663025">
        <w:rPr>
          <w:b/>
          <w:bCs/>
        </w:rPr>
        <w:t xml:space="preserve"> prin Hotărârea Prezidiului nr. </w:t>
      </w:r>
      <w:r w:rsidR="00CC3364">
        <w:rPr>
          <w:b/>
          <w:bCs/>
        </w:rPr>
        <w:t>203</w:t>
      </w:r>
      <w:r w:rsidRPr="00663025">
        <w:rPr>
          <w:b/>
          <w:bCs/>
        </w:rPr>
        <w:t xml:space="preserve"> din </w:t>
      </w:r>
      <w:r w:rsidR="00CC3364">
        <w:rPr>
          <w:b/>
          <w:bCs/>
        </w:rPr>
        <w:t>27</w:t>
      </w:r>
      <w:r w:rsidRPr="00663025">
        <w:rPr>
          <w:b/>
          <w:bCs/>
        </w:rPr>
        <w:t>.</w:t>
      </w:r>
      <w:r w:rsidR="002D761D" w:rsidRPr="00663025">
        <w:rPr>
          <w:b/>
          <w:bCs/>
        </w:rPr>
        <w:t>1</w:t>
      </w:r>
      <w:r w:rsidR="00CC3364">
        <w:rPr>
          <w:b/>
          <w:bCs/>
        </w:rPr>
        <w:t>1</w:t>
      </w:r>
      <w:r w:rsidRPr="00663025">
        <w:rPr>
          <w:b/>
          <w:bCs/>
        </w:rPr>
        <w:t>.202</w:t>
      </w:r>
      <w:r w:rsidR="00CC3364">
        <w:rPr>
          <w:b/>
          <w:bCs/>
        </w:rPr>
        <w:t>5</w:t>
      </w:r>
      <w:r w:rsidRPr="00663025">
        <w:rPr>
          <w:b/>
          <w:bCs/>
        </w:rPr>
        <w:t xml:space="preserve">, asupra raportului </w:t>
      </w:r>
      <w:r w:rsidR="002D761D" w:rsidRPr="00663025">
        <w:rPr>
          <w:b/>
          <w:bCs/>
        </w:rPr>
        <w:t xml:space="preserve">pe proiectul Vouchere Inovaționale </w:t>
      </w:r>
      <w:r w:rsidR="00103F9A" w:rsidRPr="00663025">
        <w:rPr>
          <w:b/>
          <w:bCs/>
          <w:lang w:eastAsia="ro-MD"/>
        </w:rPr>
        <w:t>25.80015.5007.08VI</w:t>
      </w:r>
      <w:r w:rsidR="00103F9A" w:rsidRPr="00663025">
        <w:rPr>
          <w:b/>
          <w:bCs/>
        </w:rPr>
        <w:t xml:space="preserve"> </w:t>
      </w:r>
      <w:r w:rsidRPr="00663025">
        <w:rPr>
          <w:b/>
          <w:bCs/>
        </w:rPr>
        <w:t>„</w:t>
      </w:r>
      <w:r w:rsidR="000B13F2" w:rsidRPr="00663025">
        <w:rPr>
          <w:b/>
          <w:bCs/>
          <w:lang w:eastAsia="ro-MD"/>
        </w:rPr>
        <w:t>Elaborarea unui regulator PID sincron universal, scalabil, cu 32 de canale și control la distanță</w:t>
      </w:r>
      <w:r w:rsidRPr="00663025">
        <w:rPr>
          <w:b/>
          <w:bCs/>
        </w:rPr>
        <w:t xml:space="preserve">”, </w:t>
      </w:r>
      <w:r w:rsidR="00397970" w:rsidRPr="00663025">
        <w:rPr>
          <w:b/>
          <w:bCs/>
        </w:rPr>
        <w:t>conducătorul</w:t>
      </w:r>
      <w:r w:rsidRPr="00663025">
        <w:rPr>
          <w:b/>
          <w:bCs/>
        </w:rPr>
        <w:t xml:space="preserve"> proiect</w:t>
      </w:r>
      <w:r w:rsidR="00D11D0B" w:rsidRPr="00663025">
        <w:rPr>
          <w:b/>
          <w:bCs/>
        </w:rPr>
        <w:t>ului</w:t>
      </w:r>
      <w:r w:rsidRPr="00663025">
        <w:rPr>
          <w:b/>
          <w:bCs/>
        </w:rPr>
        <w:t xml:space="preserve">: dr. </w:t>
      </w:r>
      <w:r w:rsidR="000B13F2" w:rsidRPr="00663025">
        <w:rPr>
          <w:b/>
          <w:bCs/>
          <w:lang w:eastAsia="ro-MD"/>
        </w:rPr>
        <w:t>Siminel</w:t>
      </w:r>
      <w:r w:rsidR="00655D4C" w:rsidRPr="00663025">
        <w:rPr>
          <w:b/>
          <w:bCs/>
          <w:lang w:eastAsia="ro-MD"/>
        </w:rPr>
        <w:t xml:space="preserve"> </w:t>
      </w:r>
      <w:r w:rsidR="000B13F2" w:rsidRPr="00663025">
        <w:rPr>
          <w:b/>
          <w:bCs/>
          <w:lang w:eastAsia="ro-MD"/>
        </w:rPr>
        <w:t>Anatolii</w:t>
      </w:r>
      <w:r w:rsidRPr="00663025">
        <w:rPr>
          <w:b/>
          <w:bCs/>
        </w:rPr>
        <w:t xml:space="preserve">, </w:t>
      </w:r>
      <w:r w:rsidR="000B13F2" w:rsidRPr="00663025">
        <w:rPr>
          <w:b/>
          <w:bCs/>
          <w:lang w:eastAsia="ro-MD"/>
        </w:rPr>
        <w:t>”Labromed Laborator” SRL</w:t>
      </w:r>
      <w:r w:rsidRPr="00663025">
        <w:rPr>
          <w:b/>
          <w:bCs/>
        </w:rPr>
        <w:t xml:space="preserve">. </w:t>
      </w:r>
    </w:p>
    <w:p w14:paraId="0E9811F4" w14:textId="77777777" w:rsidR="002D761D" w:rsidRPr="009A4F2D" w:rsidRDefault="002D761D" w:rsidP="00E077BC">
      <w:pPr>
        <w:pStyle w:val="Default"/>
        <w:spacing w:line="288" w:lineRule="auto"/>
        <w:rPr>
          <w:b/>
        </w:rPr>
      </w:pPr>
    </w:p>
    <w:p w14:paraId="5496749D" w14:textId="2A76ECF8" w:rsidR="00006125" w:rsidRDefault="00006125" w:rsidP="00E077BC">
      <w:pPr>
        <w:pStyle w:val="Default"/>
        <w:spacing w:line="288" w:lineRule="auto"/>
        <w:jc w:val="both"/>
      </w:pPr>
      <w:r w:rsidRPr="00E077BC">
        <w:t xml:space="preserve">Ca urmare a audierilor publice privind implementarea proiectelor de inovare și transfer tehnologic, desfășurate în data de </w:t>
      </w:r>
      <w:r w:rsidR="00580242">
        <w:rPr>
          <w:b/>
          <w:bCs/>
        </w:rPr>
        <w:t>24</w:t>
      </w:r>
      <w:r w:rsidRPr="00E077BC">
        <w:rPr>
          <w:b/>
          <w:bCs/>
        </w:rPr>
        <w:t xml:space="preserve"> </w:t>
      </w:r>
      <w:r w:rsidR="007B2128" w:rsidRPr="00E077BC">
        <w:rPr>
          <w:b/>
          <w:bCs/>
        </w:rPr>
        <w:t>decembrie</w:t>
      </w:r>
      <w:r w:rsidRPr="00E077BC">
        <w:rPr>
          <w:b/>
          <w:bCs/>
        </w:rPr>
        <w:t xml:space="preserve"> 202</w:t>
      </w:r>
      <w:r w:rsidR="00580242">
        <w:rPr>
          <w:b/>
          <w:bCs/>
        </w:rPr>
        <w:t>5</w:t>
      </w:r>
      <w:r w:rsidRPr="00E077BC">
        <w:rPr>
          <w:b/>
          <w:bCs/>
        </w:rPr>
        <w:t xml:space="preserve"> </w:t>
      </w:r>
      <w:r w:rsidRPr="00E077BC">
        <w:t xml:space="preserve">în format </w:t>
      </w:r>
      <w:r w:rsidR="007B2128" w:rsidRPr="00E077BC">
        <w:t xml:space="preserve">mixt cu prezență fizică în Sala </w:t>
      </w:r>
      <w:r w:rsidR="00197A5D">
        <w:t>Azurie</w:t>
      </w:r>
      <w:r w:rsidR="007B2128" w:rsidRPr="00E077BC">
        <w:t xml:space="preserve"> a AȘM și </w:t>
      </w:r>
      <w:r w:rsidRPr="00E077BC">
        <w:t>onlin</w:t>
      </w:r>
      <w:r w:rsidR="00C95161">
        <w:t>e</w:t>
      </w:r>
      <w:r w:rsidR="00CC3364">
        <w:t xml:space="preserve">, </w:t>
      </w:r>
      <w:r w:rsidR="00121955">
        <w:t>a</w:t>
      </w:r>
      <w:r w:rsidRPr="00E077BC">
        <w:t>vizul Comisiei este perfectat în baza avizelor experților în domeniul tehnologic, științific și economic.</w:t>
      </w:r>
    </w:p>
    <w:p w14:paraId="2B049150" w14:textId="77777777" w:rsidR="00C93138" w:rsidRPr="00E077BC" w:rsidRDefault="00C93138" w:rsidP="00C93138">
      <w:pPr>
        <w:pStyle w:val="Default"/>
        <w:jc w:val="both"/>
      </w:pPr>
    </w:p>
    <w:p w14:paraId="69478194" w14:textId="77777777" w:rsidR="00006125" w:rsidRDefault="00006125" w:rsidP="00F6085B">
      <w:pPr>
        <w:pStyle w:val="Default"/>
        <w:numPr>
          <w:ilvl w:val="0"/>
          <w:numId w:val="1"/>
        </w:numPr>
        <w:spacing w:line="264" w:lineRule="auto"/>
        <w:ind w:left="360"/>
        <w:rPr>
          <w:b/>
          <w:bCs/>
        </w:rPr>
      </w:pPr>
      <w:r w:rsidRPr="00E077BC">
        <w:rPr>
          <w:b/>
          <w:bCs/>
        </w:rPr>
        <w:t>Atingerea scopului, obiectivelor și rezultatelor declarate în propunerea de proiect în corelare cu cele obținute după implementarea proiectului.</w:t>
      </w:r>
    </w:p>
    <w:p w14:paraId="7742EA99" w14:textId="77777777" w:rsidR="00C93138" w:rsidRPr="00E077BC" w:rsidRDefault="00C93138" w:rsidP="00F6085B">
      <w:pPr>
        <w:pStyle w:val="Default"/>
        <w:spacing w:line="264" w:lineRule="auto"/>
        <w:ind w:left="720"/>
        <w:jc w:val="both"/>
      </w:pPr>
    </w:p>
    <w:p w14:paraId="33753A09" w14:textId="252A926F" w:rsidR="00EF6F83" w:rsidRPr="00546479" w:rsidRDefault="00F03A6F" w:rsidP="00F6085B">
      <w:pPr>
        <w:pStyle w:val="Default"/>
        <w:spacing w:line="264" w:lineRule="auto"/>
        <w:jc w:val="both"/>
        <w:rPr>
          <w:color w:val="000000" w:themeColor="text1"/>
          <w:sz w:val="23"/>
          <w:szCs w:val="23"/>
          <w:lang w:val="ro-RO"/>
        </w:rPr>
      </w:pPr>
      <w:r w:rsidRPr="00F03A6F">
        <w:t>Scopul etapei 2025, privind proiectarea completă hardware–software a regulatorului PID sincron universal cu 32 de canale și pregătirea prototipării, a fost atins în mod corespunzător. Obiectivele declarate au fost realizate prin definirea cerințelor tehnice și funcționale, elaborarea arhitecturii sistemului (unitate centrală, noduri periferice, rețea RS485/Modbus RTU), proiectarea schemelor electronice, realizarea layout-urilor PCB și generarea fișierelor Gerber.</w:t>
      </w:r>
      <w:r w:rsidR="00546479">
        <w:t xml:space="preserve"> Totodată, </w:t>
      </w:r>
      <w:r w:rsidR="00546479">
        <w:rPr>
          <w:color w:val="000000" w:themeColor="text1"/>
        </w:rPr>
        <w:t>s</w:t>
      </w:r>
      <w:r w:rsidR="00546479" w:rsidRPr="00EF6F83">
        <w:rPr>
          <w:color w:val="000000" w:themeColor="text1"/>
        </w:rPr>
        <w:t xml:space="preserve">chema principială </w:t>
      </w:r>
      <w:r w:rsidR="00546479">
        <w:rPr>
          <w:color w:val="000000" w:themeColor="text1"/>
        </w:rPr>
        <w:t>a</w:t>
      </w:r>
      <w:r w:rsidR="00546479" w:rsidRPr="00EF6F83">
        <w:rPr>
          <w:color w:val="000000" w:themeColor="text1"/>
        </w:rPr>
        <w:t xml:space="preserve"> </w:t>
      </w:r>
      <w:r w:rsidR="00546479" w:rsidRPr="00F03A6F">
        <w:t xml:space="preserve">regulatorului </w:t>
      </w:r>
      <w:r w:rsidR="00546479" w:rsidRPr="00EF6F83">
        <w:rPr>
          <w:color w:val="000000" w:themeColor="text1"/>
        </w:rPr>
        <w:t>nu este lizibilă totalmente.</w:t>
      </w:r>
    </w:p>
    <w:p w14:paraId="1673BAA2" w14:textId="77777777" w:rsidR="00546479" w:rsidRPr="00E077BC" w:rsidRDefault="00546479" w:rsidP="00F6085B">
      <w:pPr>
        <w:pStyle w:val="Default"/>
        <w:spacing w:line="264" w:lineRule="auto"/>
      </w:pPr>
    </w:p>
    <w:p w14:paraId="3F9B6F8B" w14:textId="77777777" w:rsidR="00006125" w:rsidRDefault="00006125" w:rsidP="00F6085B">
      <w:pPr>
        <w:pStyle w:val="Default"/>
        <w:spacing w:line="264" w:lineRule="auto"/>
        <w:rPr>
          <w:b/>
          <w:bCs/>
        </w:rPr>
      </w:pPr>
      <w:r w:rsidRPr="00E077BC">
        <w:rPr>
          <w:b/>
          <w:bCs/>
        </w:rPr>
        <w:t xml:space="preserve">2. Funcționalitatea tehnologiei/serviciului/produsului obținut în cadrul proiectului </w:t>
      </w:r>
    </w:p>
    <w:p w14:paraId="5A89F98E" w14:textId="091FE949" w:rsidR="0076613C" w:rsidRDefault="0076613C" w:rsidP="00F6085B">
      <w:pPr>
        <w:pStyle w:val="Default"/>
        <w:spacing w:line="264" w:lineRule="auto"/>
        <w:jc w:val="both"/>
      </w:pPr>
    </w:p>
    <w:p w14:paraId="6D2B52C8" w14:textId="6C29CCBC" w:rsidR="00C6048B" w:rsidRDefault="001635AE" w:rsidP="00F6085B">
      <w:pPr>
        <w:pStyle w:val="Default"/>
        <w:spacing w:line="264" w:lineRule="auto"/>
        <w:jc w:val="both"/>
      </w:pPr>
      <w:r>
        <w:t>Soluția tehnică propusă și dezvoltată în cadrul proiectului – regulatorul PID sincron universal cu 32 de canale – prezintă un nivel ridicat de funcționalitate, conform cerințelor tehnice și aplicațiilor vizate. Arhitectura modulară (unitate centrală + noduri periferice) permite control sincron și individual al canalelor, configurare flexibilă și operare la distanță prin interfața RS485 și protocolul Modbus RTU.</w:t>
      </w:r>
      <w:r w:rsidR="003B2305">
        <w:t xml:space="preserve"> </w:t>
      </w:r>
      <w:r>
        <w:t>Funcționalitatea este susținută de integrarea completă a blocurilor de măsurare, acționare, izolație galvanică și comunicație, asigurând stabilitate, precizie și siguranță în condiții industriale. Proiectarea detaliată a schemelor electronice, realizarea layout-urilor PCB și testarea parțială a plăcilor fabricate confirmă operabilitatea soluției la nivel de subsistem.</w:t>
      </w:r>
      <w:r w:rsidR="003B2305">
        <w:t xml:space="preserve"> </w:t>
      </w:r>
      <w:r w:rsidR="003B2305" w:rsidRPr="0076613C">
        <w:t>Rezultatele concrete obținute la această etapă reprezintă o bază reală pentru realizarea prototipului și asigurarea  funcționalității produsului preconizat.</w:t>
      </w:r>
    </w:p>
    <w:p w14:paraId="0CC06B49" w14:textId="77777777" w:rsidR="001635AE" w:rsidRPr="0035708A" w:rsidRDefault="001635AE" w:rsidP="00F6085B">
      <w:pPr>
        <w:pStyle w:val="Default"/>
        <w:spacing w:line="264" w:lineRule="auto"/>
        <w:jc w:val="both"/>
      </w:pPr>
    </w:p>
    <w:p w14:paraId="3213A231" w14:textId="77777777" w:rsidR="00A27F3B" w:rsidRPr="00AA5451" w:rsidRDefault="00BC3EB3" w:rsidP="00F6085B">
      <w:pPr>
        <w:pStyle w:val="Default"/>
        <w:spacing w:line="264" w:lineRule="auto"/>
        <w:jc w:val="both"/>
      </w:pPr>
      <w:r w:rsidRPr="0035708A">
        <w:t xml:space="preserve"> </w:t>
      </w:r>
      <w:r w:rsidR="00A27F3B" w:rsidRPr="00AA5451">
        <w:rPr>
          <w:b/>
          <w:bCs/>
        </w:rPr>
        <w:t>3. Infrastructura disponibilă pentru continuarea proiectului și funcționalitatea acesteia</w:t>
      </w:r>
    </w:p>
    <w:p w14:paraId="3641FC0E" w14:textId="77777777" w:rsidR="00DD01B5" w:rsidRPr="00AA5451" w:rsidRDefault="00DD01B5" w:rsidP="00F6085B">
      <w:pPr>
        <w:pStyle w:val="Default"/>
        <w:spacing w:line="264" w:lineRule="auto"/>
      </w:pPr>
    </w:p>
    <w:p w14:paraId="525076C6" w14:textId="6327AF52" w:rsidR="00104EBC" w:rsidRPr="00AA5451" w:rsidRDefault="00916287" w:rsidP="00F6085B">
      <w:pPr>
        <w:pStyle w:val="Default"/>
        <w:spacing w:line="264" w:lineRule="auto"/>
        <w:jc w:val="both"/>
      </w:pPr>
      <w:r w:rsidRPr="00916287">
        <w:t>În raport nu este menționată explicit infrastructura disponibilă. Însă din materialul prezentat se poate constata că executorul dispune de infrastructura și resursele necesare.</w:t>
      </w:r>
      <w:r w:rsidR="00FE4789">
        <w:t xml:space="preserve"> D</w:t>
      </w:r>
      <w:r w:rsidR="00104EBC" w:rsidRPr="00104EBC">
        <w:t>in analiza informațiilor publice disponibile pe site-ul companiei partener reiese că Labromed Laborator SRL este specializată în dezvoltarea și producția de echipamente tehnice, inclusiv în proiectarea și realizarea de serii mici de echipamente de laborator și dispozitive specializate, ceea ce indică existența unor resurse tehnologice adecvate pentru implementări practice și activități de prototipare a unor echipamente de acest tip.</w:t>
      </w:r>
    </w:p>
    <w:p w14:paraId="7C6DBB61" w14:textId="77777777" w:rsidR="00A27F3B" w:rsidRPr="00AA5451" w:rsidRDefault="00A27F3B" w:rsidP="000817BB">
      <w:pPr>
        <w:pStyle w:val="Default"/>
        <w:spacing w:line="288" w:lineRule="auto"/>
        <w:jc w:val="both"/>
      </w:pPr>
    </w:p>
    <w:p w14:paraId="18BA6BA1" w14:textId="77777777" w:rsidR="00217B79" w:rsidRPr="00AA5451" w:rsidRDefault="00217B79" w:rsidP="00217B79">
      <w:pPr>
        <w:pStyle w:val="Default"/>
        <w:rPr>
          <w:b/>
          <w:bCs/>
        </w:rPr>
      </w:pPr>
      <w:r w:rsidRPr="00AA5451">
        <w:rPr>
          <w:b/>
          <w:bCs/>
        </w:rPr>
        <w:lastRenderedPageBreak/>
        <w:t xml:space="preserve">4. Diseminarea rezultatelor obținute (acțiuni de diseminare întreprinse) </w:t>
      </w:r>
    </w:p>
    <w:p w14:paraId="42BFCED6" w14:textId="77777777" w:rsidR="00217B79" w:rsidRPr="00AA5451" w:rsidRDefault="00217B79" w:rsidP="00C01A38">
      <w:pPr>
        <w:pStyle w:val="Default"/>
      </w:pPr>
    </w:p>
    <w:p w14:paraId="6EA3803E" w14:textId="5060D63F" w:rsidR="00E91907" w:rsidRDefault="00E91907" w:rsidP="00E91907">
      <w:pPr>
        <w:autoSpaceDE w:val="0"/>
        <w:autoSpaceDN w:val="0"/>
        <w:adjustRightInd w:val="0"/>
        <w:spacing w:after="0" w:line="288" w:lineRule="auto"/>
        <w:jc w:val="both"/>
        <w:rPr>
          <w:rFonts w:ascii="Times New Roman" w:hAnsi="Times New Roman" w:cs="Times New Roman"/>
          <w:sz w:val="24"/>
          <w:szCs w:val="24"/>
          <w:lang w:val="ro-MD"/>
        </w:rPr>
      </w:pPr>
      <w:r w:rsidRPr="00E91907">
        <w:rPr>
          <w:rFonts w:ascii="Times New Roman" w:hAnsi="Times New Roman" w:cs="Times New Roman"/>
          <w:sz w:val="24"/>
          <w:szCs w:val="24"/>
          <w:lang w:val="ro-MD"/>
        </w:rPr>
        <w:t>Pe parcursul etapei evaluate, activitățile de diseminare a rezultatelor au fost limitate, fapt justificat în raport prin caracterul preponderent ingineresc al proiectului și orientarea acestuia spre dezvoltarea, prototiparea și asigurarea funcționării stabile a produsului final (regulator PID multi-canal). Nu au fost realizate publicații științifice și nici prezentări la foruri științifice în această etapă, diseminarea formală fiind planificată după finalizarea completă a prototipului și validarea sa în aplicații reale.</w:t>
      </w:r>
      <w:r>
        <w:rPr>
          <w:rFonts w:ascii="Times New Roman" w:hAnsi="Times New Roman" w:cs="Times New Roman"/>
          <w:sz w:val="24"/>
          <w:szCs w:val="24"/>
          <w:lang w:val="ro-MD"/>
        </w:rPr>
        <w:t xml:space="preserve"> </w:t>
      </w:r>
      <w:r w:rsidRPr="005B4015">
        <w:rPr>
          <w:rFonts w:ascii="Times New Roman" w:hAnsi="Times New Roman" w:cs="Times New Roman"/>
          <w:sz w:val="24"/>
          <w:szCs w:val="24"/>
          <w:lang w:val="ro-MD"/>
        </w:rPr>
        <w:t>Având în vedere termenul restrâns de executare a lucrărilor, dar și conținutul activităților propuse spre realizare, diseminarea rezultatelor este una de perspectivă imediat următoare. Este important că echipa proiectului și-a propus ca scop prezentarea prototipului la Saloanele de Inovare și Transfer tehnologic.</w:t>
      </w:r>
    </w:p>
    <w:p w14:paraId="5D134B22" w14:textId="77777777" w:rsidR="00217B79" w:rsidRPr="00AA5451" w:rsidRDefault="00217B79" w:rsidP="00217B79">
      <w:pPr>
        <w:pStyle w:val="Default"/>
      </w:pPr>
    </w:p>
    <w:p w14:paraId="48363DDA" w14:textId="77777777" w:rsidR="00217B79" w:rsidRPr="00AA5451" w:rsidRDefault="00217B79" w:rsidP="00217B79">
      <w:pPr>
        <w:pStyle w:val="Default"/>
        <w:rPr>
          <w:b/>
          <w:bCs/>
        </w:rPr>
      </w:pPr>
      <w:r w:rsidRPr="00AA5451">
        <w:rPr>
          <w:b/>
          <w:bCs/>
        </w:rPr>
        <w:t xml:space="preserve">5. Colaborarea între organizația executor și organizația partener/alte organizații (specificul și continuarea colaborării) </w:t>
      </w:r>
    </w:p>
    <w:p w14:paraId="63EFC09D" w14:textId="77777777" w:rsidR="00217B79" w:rsidRPr="00AA5451" w:rsidRDefault="00217B79" w:rsidP="00217B79">
      <w:pPr>
        <w:pStyle w:val="Default"/>
      </w:pPr>
    </w:p>
    <w:p w14:paraId="1A6E6BD4" w14:textId="2BA0408D" w:rsidR="00217B79" w:rsidRDefault="00080144" w:rsidP="0066316C">
      <w:pPr>
        <w:pStyle w:val="Default"/>
        <w:spacing w:line="288" w:lineRule="auto"/>
        <w:jc w:val="both"/>
      </w:pPr>
      <w:r w:rsidRPr="00080144">
        <w:t>Raportul conține informații referitor la colaborarea cu organizația beneficiar. Aceasta este suficientă pentru realizarea proiectului.</w:t>
      </w:r>
      <w:r w:rsidR="0066316C">
        <w:t xml:space="preserve"> Pe parcursul etapei evaluate au avut loc consultări periodice cu  partenerul național Labromed Laborator SRL, pentru definirea cerințelor tehnice, ajustarea soluțiilor de proiectare și corelarea acestora cu necesitățile reale ale beneficiarului. Partenerul a fost implicat direct în procesul de achiziționare a materialelor și componentelor, oferind feedback tehnic relevant. </w:t>
      </w:r>
      <w:r w:rsidRPr="00080144">
        <w:t>Alte colaborări/parteneriate nu sunt menționate.</w:t>
      </w:r>
      <w:r w:rsidR="0066316C">
        <w:t xml:space="preserve"> </w:t>
      </w:r>
      <w:r w:rsidR="005C6274">
        <w:t>La nivel internațional, colaborarea s-a limitat la relații comerciale necesare pentru achiziția componentelor electronice, fără activități de cercetare sau co-dezvoltare.</w:t>
      </w:r>
    </w:p>
    <w:p w14:paraId="0065E820" w14:textId="77777777" w:rsidR="005C6274" w:rsidRPr="00AA5451" w:rsidRDefault="005C6274" w:rsidP="005C6274">
      <w:pPr>
        <w:pStyle w:val="Default"/>
      </w:pPr>
    </w:p>
    <w:p w14:paraId="192B5C24" w14:textId="77777777" w:rsidR="00217B79" w:rsidRPr="00AA5451" w:rsidRDefault="00217B79" w:rsidP="00217B79">
      <w:pPr>
        <w:pStyle w:val="Default"/>
        <w:rPr>
          <w:b/>
          <w:bCs/>
        </w:rPr>
      </w:pPr>
      <w:r w:rsidRPr="00AA5451">
        <w:rPr>
          <w:b/>
          <w:bCs/>
        </w:rPr>
        <w:t xml:space="preserve">6. Efectul socio-economic al proiectului real și potențial </w:t>
      </w:r>
    </w:p>
    <w:p w14:paraId="2F7A866E" w14:textId="77777777" w:rsidR="00217B79" w:rsidRPr="00AA5451" w:rsidRDefault="00217B79" w:rsidP="00217B79">
      <w:pPr>
        <w:pStyle w:val="Default"/>
      </w:pPr>
    </w:p>
    <w:p w14:paraId="6C99E167" w14:textId="419B9079" w:rsidR="008961B5" w:rsidRPr="00B210BC" w:rsidRDefault="00D332F4" w:rsidP="00B210BC">
      <w:pPr>
        <w:pStyle w:val="Default"/>
        <w:spacing w:line="288" w:lineRule="auto"/>
        <w:jc w:val="both"/>
      </w:pPr>
      <w:r w:rsidRPr="008961B5">
        <w:t>La etapa actuală, proiectul generează un efect socio-economic pozitiv moderat, corespunzător stadiului de prototipare.</w:t>
      </w:r>
      <w:r w:rsidR="008961B5">
        <w:t xml:space="preserve"> </w:t>
      </w:r>
      <w:r w:rsidRPr="008961B5">
        <w:t>Din punct de vedere economic, soluția dezvoltată creează premise reale pentru reducerea dependenței de echipamente importate, costisitoare și dificil de adaptat.</w:t>
      </w:r>
      <w:r w:rsidR="00196015">
        <w:t xml:space="preserve"> </w:t>
      </w:r>
      <w:r w:rsidRPr="008961B5">
        <w:t>Chiar la scară limitată, prototipul răspunde necesităților unor clienți locali (laboratoare, ateliere, mici producători) care au nevoie de control multizon</w:t>
      </w:r>
      <w:r w:rsidR="00196015">
        <w:t>al</w:t>
      </w:r>
      <w:r w:rsidRPr="008961B5">
        <w:t xml:space="preserve"> fără a investi în sisteme industriale complexe.</w:t>
      </w:r>
      <w:r w:rsidR="00C075D9">
        <w:t xml:space="preserve"> </w:t>
      </w:r>
      <w:r w:rsidR="00196015" w:rsidRPr="00080144">
        <w:t>Efectul/Impactul socio-economic al proiectului poate deveni vizibil în viitor și doar din perspectiva realizării cu succes al acestuia. La această etapă poate fi menționat impactul socio-educațional</w:t>
      </w:r>
      <w:r w:rsidR="00C075D9">
        <w:t xml:space="preserve">. Din această </w:t>
      </w:r>
      <w:r w:rsidRPr="008961B5">
        <w:t>perspectivă, proiectul ar putea contribuie la formarea competențelor aplicate ale tinerilor cercetători și studenților în domeniul electronicii și automatizărilor, consolidând legătura dintre cercetare și mediul economic.</w:t>
      </w:r>
    </w:p>
    <w:p w14:paraId="6860C9DB" w14:textId="77777777" w:rsidR="008961B5" w:rsidRPr="00AA5451" w:rsidRDefault="008961B5" w:rsidP="00217B79">
      <w:pPr>
        <w:pStyle w:val="Default"/>
        <w:rPr>
          <w:b/>
          <w:bCs/>
        </w:rPr>
      </w:pPr>
    </w:p>
    <w:p w14:paraId="369E9772" w14:textId="77777777" w:rsidR="00217B79" w:rsidRDefault="00217B79" w:rsidP="00217B79">
      <w:pPr>
        <w:pStyle w:val="Default"/>
        <w:rPr>
          <w:b/>
          <w:bCs/>
        </w:rPr>
      </w:pPr>
      <w:r w:rsidRPr="00AA5451">
        <w:rPr>
          <w:b/>
          <w:bCs/>
        </w:rPr>
        <w:t>Concluzii</w:t>
      </w:r>
    </w:p>
    <w:p w14:paraId="7D24B0DA" w14:textId="77777777" w:rsidR="003E61F4" w:rsidRPr="00AA5451" w:rsidRDefault="003E61F4" w:rsidP="00217B79">
      <w:pPr>
        <w:pStyle w:val="Default"/>
      </w:pPr>
    </w:p>
    <w:p w14:paraId="03A19422" w14:textId="77777777" w:rsidR="00AA5451" w:rsidRPr="00AA5451" w:rsidRDefault="003E61F4" w:rsidP="00AA5451">
      <w:pPr>
        <w:pStyle w:val="Default"/>
        <w:spacing w:line="288" w:lineRule="auto"/>
        <w:jc w:val="both"/>
      </w:pPr>
      <w:r>
        <w:t xml:space="preserve">Se propune </w:t>
      </w:r>
      <w:r>
        <w:rPr>
          <w:b/>
          <w:lang w:val="ro-RO"/>
        </w:rPr>
        <w:t>de a aproba raportul și finanțarea în continuare.</w:t>
      </w:r>
    </w:p>
    <w:p w14:paraId="68BC966B" w14:textId="77777777" w:rsidR="00AA5451" w:rsidRDefault="00AA5451" w:rsidP="00006125">
      <w:pPr>
        <w:pStyle w:val="Default"/>
        <w:rPr>
          <w:sz w:val="23"/>
          <w:szCs w:val="23"/>
        </w:rPr>
      </w:pPr>
    </w:p>
    <w:p w14:paraId="25E37E4F" w14:textId="24099F23" w:rsidR="00006125" w:rsidRPr="00AA5451" w:rsidRDefault="00006125" w:rsidP="00006125">
      <w:pPr>
        <w:pStyle w:val="Default"/>
      </w:pPr>
      <w:r w:rsidRPr="00AA5451">
        <w:rPr>
          <w:b/>
          <w:bCs/>
        </w:rPr>
        <w:t xml:space="preserve">Proiectul este apreciat cu calificativul: </w:t>
      </w:r>
      <w:r w:rsidR="008602B4">
        <w:rPr>
          <w:b/>
          <w:bCs/>
        </w:rPr>
        <w:t>B</w:t>
      </w:r>
      <w:r w:rsidRPr="00AA5451">
        <w:rPr>
          <w:b/>
          <w:bCs/>
        </w:rPr>
        <w:t>ine, punctaj final 2</w:t>
      </w:r>
      <w:r w:rsidR="00357F3B">
        <w:rPr>
          <w:b/>
          <w:bCs/>
        </w:rPr>
        <w:t>5</w:t>
      </w:r>
      <w:r w:rsidRPr="00AA5451">
        <w:rPr>
          <w:b/>
          <w:bCs/>
        </w:rPr>
        <w:t>,</w:t>
      </w:r>
      <w:r w:rsidR="00357F3B">
        <w:rPr>
          <w:b/>
          <w:bCs/>
        </w:rPr>
        <w:t>0</w:t>
      </w:r>
      <w:r w:rsidRPr="00AA5451">
        <w:rPr>
          <w:b/>
          <w:bCs/>
        </w:rPr>
        <w:t xml:space="preserve"> puncte. </w:t>
      </w:r>
    </w:p>
    <w:p w14:paraId="237164B5" w14:textId="77777777" w:rsidR="00AA5451" w:rsidRPr="00AA5451" w:rsidRDefault="00AA5451" w:rsidP="009555E6">
      <w:pPr>
        <w:pStyle w:val="Default"/>
        <w:spacing w:after="240"/>
        <w:rPr>
          <w:b/>
          <w:bCs/>
        </w:rPr>
      </w:pPr>
    </w:p>
    <w:p w14:paraId="50313C95" w14:textId="77777777" w:rsidR="00006125" w:rsidRPr="00AA5451" w:rsidRDefault="00006125" w:rsidP="00006125">
      <w:pPr>
        <w:pStyle w:val="Default"/>
      </w:pPr>
      <w:r w:rsidRPr="00AA5451">
        <w:rPr>
          <w:b/>
          <w:bCs/>
        </w:rPr>
        <w:t xml:space="preserve">Președintele Comisiei </w:t>
      </w:r>
      <w:r w:rsidR="00AA5451" w:rsidRPr="00AA5451">
        <w:rPr>
          <w:b/>
          <w:bCs/>
        </w:rPr>
        <w:tab/>
      </w:r>
      <w:r w:rsidR="00AA5451" w:rsidRPr="00AA5451">
        <w:rPr>
          <w:b/>
          <w:bCs/>
        </w:rPr>
        <w:tab/>
      </w:r>
      <w:r w:rsidR="00AA5451" w:rsidRPr="00AA5451">
        <w:rPr>
          <w:b/>
          <w:bCs/>
        </w:rPr>
        <w:tab/>
      </w:r>
      <w:r w:rsidR="00AA5451" w:rsidRPr="00AA5451">
        <w:rPr>
          <w:b/>
          <w:bCs/>
        </w:rPr>
        <w:tab/>
      </w:r>
      <w:r w:rsidR="00AA5451" w:rsidRPr="00AA5451">
        <w:rPr>
          <w:b/>
          <w:bCs/>
        </w:rPr>
        <w:tab/>
      </w:r>
      <w:r w:rsidRPr="00AA5451">
        <w:rPr>
          <w:b/>
          <w:bCs/>
        </w:rPr>
        <w:t>dr. hab.</w:t>
      </w:r>
      <w:r w:rsidR="00AA5451" w:rsidRPr="00AA5451">
        <w:rPr>
          <w:b/>
          <w:bCs/>
        </w:rPr>
        <w:t xml:space="preserve">, m. c. </w:t>
      </w:r>
      <w:r w:rsidRPr="00AA5451">
        <w:rPr>
          <w:b/>
          <w:bCs/>
        </w:rPr>
        <w:t xml:space="preserve"> </w:t>
      </w:r>
      <w:r w:rsidR="00AA5451" w:rsidRPr="00AA5451">
        <w:rPr>
          <w:b/>
          <w:bCs/>
        </w:rPr>
        <w:t>Veaceslav Ursachi</w:t>
      </w:r>
      <w:r w:rsidRPr="00AA5451">
        <w:rPr>
          <w:b/>
          <w:bCs/>
        </w:rPr>
        <w:t xml:space="preserve"> </w:t>
      </w:r>
    </w:p>
    <w:p w14:paraId="0BEE0F40" w14:textId="77777777" w:rsidR="00EA747A" w:rsidRDefault="00EA747A" w:rsidP="009555E6">
      <w:pPr>
        <w:spacing w:after="240"/>
        <w:contextualSpacing/>
        <w:rPr>
          <w:rFonts w:ascii="Times New Roman" w:hAnsi="Times New Roman" w:cs="Times New Roman"/>
          <w:b/>
          <w:bCs/>
          <w:sz w:val="24"/>
          <w:szCs w:val="24"/>
        </w:rPr>
      </w:pPr>
    </w:p>
    <w:p w14:paraId="46CBCC09" w14:textId="77777777" w:rsidR="009555E6" w:rsidRDefault="009555E6" w:rsidP="009555E6">
      <w:pPr>
        <w:spacing w:after="240"/>
        <w:contextualSpacing/>
        <w:rPr>
          <w:rFonts w:ascii="Times New Roman" w:hAnsi="Times New Roman" w:cs="Times New Roman"/>
          <w:b/>
          <w:bCs/>
          <w:sz w:val="24"/>
          <w:szCs w:val="24"/>
        </w:rPr>
      </w:pPr>
    </w:p>
    <w:p w14:paraId="135F618B" w14:textId="5D80AA04" w:rsidR="00F50B03" w:rsidRPr="00AA5451" w:rsidRDefault="00006125" w:rsidP="00006125">
      <w:pPr>
        <w:rPr>
          <w:rFonts w:ascii="Times New Roman" w:hAnsi="Times New Roman" w:cs="Times New Roman"/>
          <w:sz w:val="24"/>
          <w:szCs w:val="24"/>
        </w:rPr>
      </w:pPr>
      <w:r w:rsidRPr="00AA5451">
        <w:rPr>
          <w:rFonts w:ascii="Times New Roman" w:hAnsi="Times New Roman" w:cs="Times New Roman"/>
          <w:b/>
          <w:bCs/>
          <w:sz w:val="24"/>
          <w:szCs w:val="24"/>
        </w:rPr>
        <w:t>Secretarul Comisiei</w:t>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00EA747A">
        <w:rPr>
          <w:rFonts w:ascii="Times New Roman" w:hAnsi="Times New Roman" w:cs="Times New Roman"/>
          <w:b/>
          <w:bCs/>
          <w:sz w:val="24"/>
          <w:szCs w:val="24"/>
        </w:rPr>
        <w:tab/>
      </w:r>
      <w:r w:rsidRPr="00AA5451">
        <w:rPr>
          <w:rFonts w:ascii="Times New Roman" w:hAnsi="Times New Roman" w:cs="Times New Roman"/>
          <w:b/>
          <w:bCs/>
          <w:sz w:val="24"/>
          <w:szCs w:val="24"/>
        </w:rPr>
        <w:t xml:space="preserve"> dr. </w:t>
      </w:r>
      <w:r w:rsidR="00220825">
        <w:rPr>
          <w:rFonts w:ascii="Times New Roman" w:hAnsi="Times New Roman" w:cs="Times New Roman"/>
          <w:b/>
          <w:bCs/>
          <w:sz w:val="24"/>
          <w:szCs w:val="24"/>
        </w:rPr>
        <w:t>Leonid Chișlar</w:t>
      </w:r>
      <w:r w:rsidR="00A815A4">
        <w:rPr>
          <w:rFonts w:ascii="Times New Roman" w:hAnsi="Times New Roman" w:cs="Times New Roman"/>
          <w:b/>
          <w:bCs/>
          <w:sz w:val="24"/>
          <w:szCs w:val="24"/>
        </w:rPr>
        <w:t>u</w:t>
      </w:r>
    </w:p>
    <w:sectPr w:rsidR="00F50B03" w:rsidRPr="00AA5451" w:rsidSect="00F6085B">
      <w:footerReference w:type="default" r:id="rId7"/>
      <w:pgSz w:w="11906" w:h="16838"/>
      <w:pgMar w:top="720" w:right="1106"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155B" w14:textId="77777777" w:rsidR="007A0D67" w:rsidRDefault="007A0D67" w:rsidP="0093552C">
      <w:pPr>
        <w:spacing w:after="0" w:line="240" w:lineRule="auto"/>
      </w:pPr>
      <w:r>
        <w:separator/>
      </w:r>
    </w:p>
  </w:endnote>
  <w:endnote w:type="continuationSeparator" w:id="0">
    <w:p w14:paraId="793EF69B" w14:textId="77777777" w:rsidR="007A0D67" w:rsidRDefault="007A0D67" w:rsidP="0093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981D" w14:textId="77777777" w:rsidR="0093552C" w:rsidRDefault="0093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5D98" w14:textId="77777777" w:rsidR="007A0D67" w:rsidRDefault="007A0D67" w:rsidP="0093552C">
      <w:pPr>
        <w:spacing w:after="0" w:line="240" w:lineRule="auto"/>
      </w:pPr>
      <w:r>
        <w:separator/>
      </w:r>
    </w:p>
  </w:footnote>
  <w:footnote w:type="continuationSeparator" w:id="0">
    <w:p w14:paraId="58994AA4" w14:textId="77777777" w:rsidR="007A0D67" w:rsidRDefault="007A0D67" w:rsidP="00935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D1784"/>
    <w:multiLevelType w:val="hybridMultilevel"/>
    <w:tmpl w:val="722C897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25"/>
    <w:rsid w:val="00006125"/>
    <w:rsid w:val="000100B6"/>
    <w:rsid w:val="00080144"/>
    <w:rsid w:val="000817BB"/>
    <w:rsid w:val="000A0D0B"/>
    <w:rsid w:val="000B13F2"/>
    <w:rsid w:val="000D4CB1"/>
    <w:rsid w:val="00103F9A"/>
    <w:rsid w:val="00104EBC"/>
    <w:rsid w:val="00112227"/>
    <w:rsid w:val="001149B6"/>
    <w:rsid w:val="00121955"/>
    <w:rsid w:val="001611ED"/>
    <w:rsid w:val="001635AE"/>
    <w:rsid w:val="00164A62"/>
    <w:rsid w:val="00180648"/>
    <w:rsid w:val="00196015"/>
    <w:rsid w:val="00197A5D"/>
    <w:rsid w:val="001F7754"/>
    <w:rsid w:val="00217B79"/>
    <w:rsid w:val="00220825"/>
    <w:rsid w:val="0025306A"/>
    <w:rsid w:val="00255DD1"/>
    <w:rsid w:val="0027602E"/>
    <w:rsid w:val="002C12EB"/>
    <w:rsid w:val="002D761D"/>
    <w:rsid w:val="002F37C2"/>
    <w:rsid w:val="00317106"/>
    <w:rsid w:val="0033181D"/>
    <w:rsid w:val="003340B1"/>
    <w:rsid w:val="0035708A"/>
    <w:rsid w:val="00357F3B"/>
    <w:rsid w:val="00366E97"/>
    <w:rsid w:val="00373A05"/>
    <w:rsid w:val="003741E3"/>
    <w:rsid w:val="003853AC"/>
    <w:rsid w:val="00397970"/>
    <w:rsid w:val="003A5549"/>
    <w:rsid w:val="003B0544"/>
    <w:rsid w:val="003B2305"/>
    <w:rsid w:val="003E61F4"/>
    <w:rsid w:val="0040487D"/>
    <w:rsid w:val="004108C8"/>
    <w:rsid w:val="00424FB8"/>
    <w:rsid w:val="0047257C"/>
    <w:rsid w:val="004D04E4"/>
    <w:rsid w:val="004F445A"/>
    <w:rsid w:val="005043A3"/>
    <w:rsid w:val="005117DA"/>
    <w:rsid w:val="00511820"/>
    <w:rsid w:val="005143E5"/>
    <w:rsid w:val="00546479"/>
    <w:rsid w:val="00580242"/>
    <w:rsid w:val="005906CB"/>
    <w:rsid w:val="005B0BF1"/>
    <w:rsid w:val="005B4015"/>
    <w:rsid w:val="005C6274"/>
    <w:rsid w:val="00621C70"/>
    <w:rsid w:val="00625F83"/>
    <w:rsid w:val="00633435"/>
    <w:rsid w:val="00640518"/>
    <w:rsid w:val="00655D4C"/>
    <w:rsid w:val="00663025"/>
    <w:rsid w:val="0066316C"/>
    <w:rsid w:val="00682DF0"/>
    <w:rsid w:val="006A4594"/>
    <w:rsid w:val="006C5DFA"/>
    <w:rsid w:val="006E2338"/>
    <w:rsid w:val="0071751A"/>
    <w:rsid w:val="00725B4A"/>
    <w:rsid w:val="0074694D"/>
    <w:rsid w:val="0076613C"/>
    <w:rsid w:val="00786E20"/>
    <w:rsid w:val="00791FC9"/>
    <w:rsid w:val="007A0B19"/>
    <w:rsid w:val="007A0D67"/>
    <w:rsid w:val="007A6762"/>
    <w:rsid w:val="007B2128"/>
    <w:rsid w:val="007E50F4"/>
    <w:rsid w:val="007E5ACB"/>
    <w:rsid w:val="007F60B5"/>
    <w:rsid w:val="0080100E"/>
    <w:rsid w:val="0084079E"/>
    <w:rsid w:val="008602B4"/>
    <w:rsid w:val="00894726"/>
    <w:rsid w:val="008961B5"/>
    <w:rsid w:val="008E21E7"/>
    <w:rsid w:val="008E5215"/>
    <w:rsid w:val="00916287"/>
    <w:rsid w:val="00920EA0"/>
    <w:rsid w:val="00921F2D"/>
    <w:rsid w:val="009338F2"/>
    <w:rsid w:val="0093552C"/>
    <w:rsid w:val="00940766"/>
    <w:rsid w:val="0094309D"/>
    <w:rsid w:val="009555E6"/>
    <w:rsid w:val="009713DC"/>
    <w:rsid w:val="00983C77"/>
    <w:rsid w:val="009871EC"/>
    <w:rsid w:val="0098750F"/>
    <w:rsid w:val="009A4F2D"/>
    <w:rsid w:val="009C344D"/>
    <w:rsid w:val="00A27F3B"/>
    <w:rsid w:val="00A815A4"/>
    <w:rsid w:val="00A9361D"/>
    <w:rsid w:val="00AA5451"/>
    <w:rsid w:val="00AF2AB8"/>
    <w:rsid w:val="00B13727"/>
    <w:rsid w:val="00B15008"/>
    <w:rsid w:val="00B210BC"/>
    <w:rsid w:val="00B774E5"/>
    <w:rsid w:val="00B8289F"/>
    <w:rsid w:val="00BB414F"/>
    <w:rsid w:val="00BC3EB3"/>
    <w:rsid w:val="00C01A38"/>
    <w:rsid w:val="00C075D9"/>
    <w:rsid w:val="00C12D44"/>
    <w:rsid w:val="00C6048B"/>
    <w:rsid w:val="00C82E7F"/>
    <w:rsid w:val="00C93138"/>
    <w:rsid w:val="00C95161"/>
    <w:rsid w:val="00C95826"/>
    <w:rsid w:val="00CC3364"/>
    <w:rsid w:val="00CC7FD6"/>
    <w:rsid w:val="00D11D0B"/>
    <w:rsid w:val="00D12AE2"/>
    <w:rsid w:val="00D27DE2"/>
    <w:rsid w:val="00D332F4"/>
    <w:rsid w:val="00DB628D"/>
    <w:rsid w:val="00DC2E74"/>
    <w:rsid w:val="00DD01B5"/>
    <w:rsid w:val="00E077BC"/>
    <w:rsid w:val="00E266CD"/>
    <w:rsid w:val="00E55907"/>
    <w:rsid w:val="00E84A3A"/>
    <w:rsid w:val="00E91907"/>
    <w:rsid w:val="00EA747A"/>
    <w:rsid w:val="00EC262A"/>
    <w:rsid w:val="00EF6F83"/>
    <w:rsid w:val="00F03A6F"/>
    <w:rsid w:val="00F136CC"/>
    <w:rsid w:val="00F2579F"/>
    <w:rsid w:val="00F260A7"/>
    <w:rsid w:val="00F40711"/>
    <w:rsid w:val="00F50B03"/>
    <w:rsid w:val="00F53D6E"/>
    <w:rsid w:val="00F6085B"/>
    <w:rsid w:val="00F81B09"/>
    <w:rsid w:val="00FB1821"/>
    <w:rsid w:val="00FD7C12"/>
    <w:rsid w:val="00FE478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40D7"/>
  <w15:chartTrackingRefBased/>
  <w15:docId w15:val="{A0387727-BB41-4F2B-831F-FE9BA25B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612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B2128"/>
    <w:rPr>
      <w:color w:val="0563C1" w:themeColor="hyperlink"/>
      <w:u w:val="single"/>
    </w:rPr>
  </w:style>
  <w:style w:type="character" w:styleId="UnresolvedMention">
    <w:name w:val="Unresolved Mention"/>
    <w:basedOn w:val="DefaultParagraphFont"/>
    <w:uiPriority w:val="99"/>
    <w:semiHidden/>
    <w:unhideWhenUsed/>
    <w:rsid w:val="007B2128"/>
    <w:rPr>
      <w:color w:val="605E5C"/>
      <w:shd w:val="clear" w:color="auto" w:fill="E1DFDD"/>
    </w:rPr>
  </w:style>
  <w:style w:type="paragraph" w:styleId="Header">
    <w:name w:val="header"/>
    <w:basedOn w:val="Normal"/>
    <w:link w:val="HeaderChar"/>
    <w:uiPriority w:val="99"/>
    <w:unhideWhenUsed/>
    <w:rsid w:val="009355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3552C"/>
    <w:rPr>
      <w:lang w:val="ro-RO"/>
    </w:rPr>
  </w:style>
  <w:style w:type="paragraph" w:styleId="Footer">
    <w:name w:val="footer"/>
    <w:basedOn w:val="Normal"/>
    <w:link w:val="FooterChar"/>
    <w:uiPriority w:val="99"/>
    <w:unhideWhenUsed/>
    <w:rsid w:val="009355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3552C"/>
    <w:rPr>
      <w:lang w:val="ro-RO"/>
    </w:rPr>
  </w:style>
  <w:style w:type="character" w:styleId="FollowedHyperlink">
    <w:name w:val="FollowedHyperlink"/>
    <w:basedOn w:val="DefaultParagraphFont"/>
    <w:uiPriority w:val="99"/>
    <w:semiHidden/>
    <w:unhideWhenUsed/>
    <w:rsid w:val="00C951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930</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235</cp:revision>
  <dcterms:created xsi:type="dcterms:W3CDTF">2025-12-23T14:11:00Z</dcterms:created>
  <dcterms:modified xsi:type="dcterms:W3CDTF">2025-12-28T11:42:00Z</dcterms:modified>
</cp:coreProperties>
</file>