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4339BB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4B11D7B9" w:rsidR="001C5616" w:rsidRDefault="001C5616" w:rsidP="0053044E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4339BB" w:rsidRPr="004339BB">
        <w:rPr>
          <w:b/>
          <w:sz w:val="24"/>
          <w:szCs w:val="24"/>
          <w:lang w:val="ro-RO"/>
        </w:rPr>
        <w:t>25.80013.8007.07ROMD</w:t>
      </w:r>
      <w:r w:rsidR="00974EEF">
        <w:rPr>
          <w:b/>
          <w:sz w:val="24"/>
          <w:szCs w:val="24"/>
          <w:lang w:val="ro-RO"/>
        </w:rPr>
        <w:t xml:space="preserve"> „</w:t>
      </w:r>
      <w:r w:rsidR="004339BB" w:rsidRPr="004339BB">
        <w:rPr>
          <w:b/>
          <w:sz w:val="24"/>
          <w:szCs w:val="24"/>
          <w:lang w:val="ro-RO"/>
        </w:rPr>
        <w:t>Manipularea iatrogenă a forței și esteticii musculare - pericolul medicamentelor contrafăcute și al suplimentelor alimentare adulterate</w:t>
      </w:r>
      <w:r w:rsidR="00974EEF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r w:rsidR="004339BB" w:rsidRPr="004339BB">
        <w:rPr>
          <w:b/>
          <w:sz w:val="24"/>
          <w:szCs w:val="24"/>
          <w:lang w:val="ro-RO"/>
        </w:rPr>
        <w:t>Scutari Corina</w:t>
      </w:r>
      <w:r w:rsidR="00974EEF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4339BB" w:rsidRPr="004339BB">
        <w:rPr>
          <w:b/>
          <w:sz w:val="24"/>
          <w:szCs w:val="24"/>
          <w:lang w:val="ro-RO"/>
        </w:rPr>
        <w:t>Universitatea de Stat de Medicina și Farmacie „Nicolae Testemițanu”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1CCECB56" w:rsidR="004C422F" w:rsidRDefault="00E7660D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E7660D">
        <w:rPr>
          <w:bCs/>
          <w:sz w:val="24"/>
          <w:szCs w:val="24"/>
          <w:lang w:val="ro-RO"/>
        </w:rPr>
        <w:t xml:space="preserve">Scopul și obiectivele au fost </w:t>
      </w:r>
      <w:r w:rsidR="002646B5" w:rsidRPr="002646B5">
        <w:rPr>
          <w:bCs/>
          <w:sz w:val="24"/>
          <w:szCs w:val="24"/>
          <w:lang w:val="ro-RO"/>
        </w:rPr>
        <w:t>realizat</w:t>
      </w:r>
      <w:r w:rsidR="002646B5">
        <w:rPr>
          <w:bCs/>
          <w:sz w:val="24"/>
          <w:szCs w:val="24"/>
          <w:lang w:val="ro-RO"/>
        </w:rPr>
        <w:t>e</w:t>
      </w:r>
      <w:r w:rsidR="002646B5" w:rsidRPr="002646B5">
        <w:rPr>
          <w:bCs/>
          <w:sz w:val="24"/>
          <w:szCs w:val="24"/>
          <w:lang w:val="ro-RO"/>
        </w:rPr>
        <w:t xml:space="preserve"> integral.</w:t>
      </w: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70CEA9F1" w:rsidR="00ED402C" w:rsidRDefault="00D42657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</w:t>
      </w:r>
      <w:r w:rsidRPr="00D42657">
        <w:rPr>
          <w:bCs/>
          <w:sz w:val="24"/>
          <w:szCs w:val="24"/>
          <w:lang w:val="ro-RO"/>
        </w:rPr>
        <w:t>ezultatele proiectului au fost diseminate prin participarea activă la manifestări științifice naționale cu participare internațională</w:t>
      </w:r>
      <w:r>
        <w:rPr>
          <w:bCs/>
          <w:sz w:val="24"/>
          <w:szCs w:val="24"/>
          <w:lang w:val="ro-RO"/>
        </w:rPr>
        <w:t xml:space="preserve"> – </w:t>
      </w:r>
      <w:r w:rsidRPr="00D42657">
        <w:rPr>
          <w:bCs/>
          <w:sz w:val="24"/>
          <w:szCs w:val="24"/>
          <w:lang w:val="ro-RO"/>
        </w:rPr>
        <w:t>comunicări și postere</w:t>
      </w:r>
      <w:r>
        <w:rPr>
          <w:bCs/>
          <w:sz w:val="24"/>
          <w:szCs w:val="24"/>
          <w:lang w:val="ro-RO"/>
        </w:rPr>
        <w:t>.</w:t>
      </w:r>
      <w:r w:rsidRPr="00D42657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A</w:t>
      </w:r>
      <w:r w:rsidRPr="00D42657">
        <w:rPr>
          <w:bCs/>
          <w:sz w:val="24"/>
          <w:szCs w:val="24"/>
          <w:lang w:val="ro-RO"/>
        </w:rPr>
        <w:t xml:space="preserve">u fost publicate </w:t>
      </w:r>
      <w:r>
        <w:rPr>
          <w:bCs/>
          <w:sz w:val="24"/>
          <w:szCs w:val="24"/>
          <w:lang w:val="ro-RO"/>
        </w:rPr>
        <w:t>2</w:t>
      </w:r>
      <w:r w:rsidRPr="00D42657">
        <w:rPr>
          <w:bCs/>
          <w:sz w:val="24"/>
          <w:szCs w:val="24"/>
          <w:lang w:val="ro-RO"/>
        </w:rPr>
        <w:t xml:space="preserve"> lucrări în materialele conferințelor științifice naționale</w:t>
      </w:r>
      <w:r>
        <w:rPr>
          <w:bCs/>
          <w:sz w:val="24"/>
          <w:szCs w:val="24"/>
          <w:lang w:val="ro-RO"/>
        </w:rPr>
        <w:t xml:space="preserve"> – 1 </w:t>
      </w:r>
      <w:r w:rsidRPr="00D42657">
        <w:rPr>
          <w:bCs/>
          <w:sz w:val="24"/>
          <w:szCs w:val="24"/>
          <w:lang w:val="ro-RO"/>
        </w:rPr>
        <w:t xml:space="preserve">articol și </w:t>
      </w:r>
      <w:r>
        <w:rPr>
          <w:bCs/>
          <w:sz w:val="24"/>
          <w:szCs w:val="24"/>
          <w:lang w:val="ro-RO"/>
        </w:rPr>
        <w:t>1 teză.</w:t>
      </w: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29F2B584" w:rsidR="0050131C" w:rsidRDefault="002E4960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2E4960">
        <w:rPr>
          <w:lang w:val="en-US"/>
        </w:rPr>
        <w:t xml:space="preserve"> </w:t>
      </w:r>
      <w:r w:rsidRPr="002E4960">
        <w:rPr>
          <w:bCs/>
          <w:sz w:val="24"/>
          <w:szCs w:val="24"/>
          <w:lang w:val="ro-RO"/>
        </w:rPr>
        <w:t>Rezultatele obținute au o valoare socio-economică relevantă prin contribuția la protecția sănătății publice și la consolidarea capacității de control al calității produselor farmaceutice și al suplimentelor alimentare.</w:t>
      </w:r>
      <w:r>
        <w:rPr>
          <w:bCs/>
          <w:sz w:val="24"/>
          <w:szCs w:val="24"/>
          <w:lang w:val="ro-RO"/>
        </w:rPr>
        <w:t xml:space="preserve"> </w:t>
      </w:r>
      <w:r w:rsidRPr="002E4960">
        <w:rPr>
          <w:bCs/>
          <w:sz w:val="24"/>
          <w:szCs w:val="24"/>
          <w:lang w:val="ro-RO"/>
        </w:rPr>
        <w:t>Pe termen mediu, implementarea metodelor propuse poate contribui la eficientizarea activităților de supraveghere sanitară și la creșterea siguranței consumatorilor.</w:t>
      </w: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1F525B12" w:rsidR="001C5616" w:rsidRDefault="0016303C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16303C">
        <w:rPr>
          <w:bCs/>
          <w:sz w:val="24"/>
          <w:szCs w:val="24"/>
          <w:lang w:val="ro-RO"/>
        </w:rPr>
        <w:t>Colaborarea dintre organizația din Republica Moldova și partenerii din România s-a dovedit eficientă. Parteneriatul a contribuit la alinierea abordărilor metodologice la standardele europene, la consolidarea cadrului teoretic și la creșterea calității documentării științifice.</w:t>
      </w: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0BED67C7" w:rsidR="001C5616" w:rsidRPr="000A10AE" w:rsidRDefault="0016303C" w:rsidP="0041796B">
      <w:pPr>
        <w:pStyle w:val="Listparagraf"/>
        <w:ind w:left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Pr="0016303C">
        <w:rPr>
          <w:sz w:val="24"/>
          <w:szCs w:val="24"/>
          <w:lang w:val="ro-RO"/>
        </w:rPr>
        <w:t>u fost realizate colaborări naționale și internaționale care au contribuit la formarea profesională și implicarea tinerilor cercetători</w:t>
      </w:r>
      <w:r>
        <w:rPr>
          <w:sz w:val="24"/>
          <w:szCs w:val="24"/>
          <w:lang w:val="ro-RO"/>
        </w:rPr>
        <w:t xml:space="preserve">, </w:t>
      </w:r>
      <w:r w:rsidRPr="0016303C">
        <w:rPr>
          <w:sz w:val="24"/>
          <w:szCs w:val="24"/>
          <w:lang w:val="ro-RO"/>
        </w:rPr>
        <w:t>consolidând capacitatea de cercetare și pregătirea cadrelor pentru etapele experimentale ulterioare.</w:t>
      </w:r>
    </w:p>
    <w:p w14:paraId="559D3DAB" w14:textId="77777777" w:rsidR="001C5616" w:rsidRPr="00A83A0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5A29E904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9C1504">
        <w:rPr>
          <w:b/>
          <w:i/>
          <w:iCs/>
          <w:sz w:val="24"/>
          <w:szCs w:val="24"/>
          <w:lang w:val="ro-MD"/>
        </w:rPr>
        <w:t>8</w:t>
      </w:r>
      <w:r w:rsidR="00727298">
        <w:rPr>
          <w:b/>
          <w:i/>
          <w:iCs/>
          <w:sz w:val="24"/>
          <w:szCs w:val="24"/>
          <w:lang w:val="ro-MD"/>
        </w:rPr>
        <w:t>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04007FCC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E83F49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5A195B5E" w14:textId="611FE76C" w:rsidR="004B4ED1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FFE108C" w14:textId="77777777" w:rsidR="002E41F9" w:rsidRPr="00A83A08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3B80" w14:textId="77777777" w:rsidR="0020567D" w:rsidRDefault="0020567D" w:rsidP="007204DD">
      <w:r>
        <w:separator/>
      </w:r>
    </w:p>
  </w:endnote>
  <w:endnote w:type="continuationSeparator" w:id="0">
    <w:p w14:paraId="6D353B94" w14:textId="77777777" w:rsidR="0020567D" w:rsidRDefault="0020567D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1F12" w14:textId="77777777" w:rsidR="0020567D" w:rsidRDefault="0020567D" w:rsidP="007204DD">
      <w:r>
        <w:separator/>
      </w:r>
    </w:p>
  </w:footnote>
  <w:footnote w:type="continuationSeparator" w:id="0">
    <w:p w14:paraId="23670847" w14:textId="77777777" w:rsidR="0020567D" w:rsidRDefault="0020567D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D3D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0594"/>
    <w:rsid w:val="0041377F"/>
    <w:rsid w:val="004143B7"/>
    <w:rsid w:val="0041524A"/>
    <w:rsid w:val="0041796B"/>
    <w:rsid w:val="00420379"/>
    <w:rsid w:val="00424972"/>
    <w:rsid w:val="00424CD8"/>
    <w:rsid w:val="004253A9"/>
    <w:rsid w:val="00427969"/>
    <w:rsid w:val="00430CE8"/>
    <w:rsid w:val="00432200"/>
    <w:rsid w:val="004339BB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55206"/>
    <w:rsid w:val="00955A0C"/>
    <w:rsid w:val="00963523"/>
    <w:rsid w:val="00964C67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81E23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1CA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458</Words>
  <Characters>2662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337</cp:revision>
  <cp:lastPrinted>2016-04-12T06:18:00Z</cp:lastPrinted>
  <dcterms:created xsi:type="dcterms:W3CDTF">2019-05-04T11:45:00Z</dcterms:created>
  <dcterms:modified xsi:type="dcterms:W3CDTF">2025-12-24T10:01:00Z</dcterms:modified>
</cp:coreProperties>
</file>