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162" w:rsidRPr="002B0AEB" w:rsidRDefault="00296162" w:rsidP="00296162">
      <w:pPr>
        <w:spacing w:line="120" w:lineRule="exact"/>
        <w:jc w:val="both"/>
        <w:rPr>
          <w:b/>
          <w:color w:val="FF0000"/>
          <w:lang w:val="ro-RO"/>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296162" w:rsidRPr="002B0AEB" w:rsidTr="0088289E">
        <w:trPr>
          <w:trHeight w:val="2516"/>
        </w:trPr>
        <w:tc>
          <w:tcPr>
            <w:tcW w:w="4390" w:type="dxa"/>
          </w:tcPr>
          <w:p w:rsidR="00296162" w:rsidRPr="00C54068" w:rsidRDefault="00296162" w:rsidP="0088289E">
            <w:pPr>
              <w:spacing w:before="240" w:after="60" w:line="256" w:lineRule="auto"/>
              <w:jc w:val="center"/>
              <w:outlineLvl w:val="7"/>
              <w:rPr>
                <w:b/>
                <w:iCs/>
                <w:sz w:val="24"/>
                <w:szCs w:val="24"/>
                <w:lang w:val="ro-RO"/>
              </w:rPr>
            </w:pPr>
            <w:r w:rsidRPr="00C54068">
              <w:rPr>
                <w:b/>
                <w:iCs/>
                <w:sz w:val="24"/>
                <w:szCs w:val="24"/>
                <w:lang w:val="ro-RO"/>
              </w:rPr>
              <w:t>ACADEMIA DE ŞTIINŢE</w:t>
            </w:r>
          </w:p>
          <w:p w:rsidR="00296162" w:rsidRPr="00C54068" w:rsidRDefault="00296162" w:rsidP="0088289E">
            <w:pPr>
              <w:spacing w:line="256" w:lineRule="auto"/>
              <w:jc w:val="center"/>
              <w:rPr>
                <w:b/>
                <w:sz w:val="24"/>
                <w:szCs w:val="24"/>
                <w:lang w:val="ro-RO"/>
              </w:rPr>
            </w:pPr>
            <w:r w:rsidRPr="00C54068">
              <w:rPr>
                <w:b/>
                <w:sz w:val="24"/>
                <w:szCs w:val="24"/>
                <w:lang w:val="ro-RO"/>
              </w:rPr>
              <w:t>A MOLDOVEI</w:t>
            </w:r>
          </w:p>
          <w:p w:rsidR="00296162" w:rsidRPr="00C54068" w:rsidRDefault="00296162" w:rsidP="0088289E">
            <w:pPr>
              <w:spacing w:line="256" w:lineRule="auto"/>
              <w:jc w:val="center"/>
              <w:rPr>
                <w:b/>
                <w:sz w:val="24"/>
                <w:szCs w:val="24"/>
                <w:lang w:val="ro-RO"/>
              </w:rPr>
            </w:pPr>
            <w:r w:rsidRPr="00C54068">
              <w:rPr>
                <w:b/>
                <w:sz w:val="24"/>
                <w:szCs w:val="24"/>
                <w:lang w:val="ro-RO"/>
              </w:rPr>
              <w:t>SECŢIA ŞTIINŢE ALE VIEȚII</w:t>
            </w:r>
          </w:p>
          <w:p w:rsidR="00296162" w:rsidRPr="00C54068" w:rsidRDefault="00296162" w:rsidP="0088289E">
            <w:pPr>
              <w:spacing w:line="256" w:lineRule="auto"/>
              <w:jc w:val="center"/>
              <w:rPr>
                <w:b/>
                <w:lang w:val="ro-RO"/>
              </w:rPr>
            </w:pPr>
          </w:p>
          <w:p w:rsidR="00296162" w:rsidRPr="00C54068" w:rsidRDefault="00296162" w:rsidP="0088289E">
            <w:pPr>
              <w:spacing w:line="256" w:lineRule="auto"/>
              <w:jc w:val="center"/>
              <w:rPr>
                <w:b/>
                <w:lang w:val="ro-RO"/>
              </w:rPr>
            </w:pPr>
            <w:r w:rsidRPr="00C54068">
              <w:rPr>
                <w:b/>
                <w:lang w:val="ro-RO"/>
              </w:rPr>
              <w:t xml:space="preserve">Bd. </w:t>
            </w:r>
            <w:proofErr w:type="spellStart"/>
            <w:r w:rsidRPr="00C54068">
              <w:rPr>
                <w:b/>
                <w:lang w:val="ro-RO"/>
              </w:rPr>
              <w:t>Ştefan</w:t>
            </w:r>
            <w:proofErr w:type="spellEnd"/>
            <w:r w:rsidRPr="00C54068">
              <w:rPr>
                <w:b/>
                <w:lang w:val="ro-RO"/>
              </w:rPr>
              <w:t xml:space="preserve"> cel Mare 1</w:t>
            </w:r>
          </w:p>
          <w:p w:rsidR="00296162" w:rsidRPr="00C54068" w:rsidRDefault="00296162" w:rsidP="0088289E">
            <w:pPr>
              <w:spacing w:line="256" w:lineRule="auto"/>
              <w:jc w:val="center"/>
              <w:rPr>
                <w:b/>
                <w:lang w:val="ro-RO"/>
              </w:rPr>
            </w:pPr>
            <w:r w:rsidRPr="00C54068">
              <w:rPr>
                <w:b/>
                <w:lang w:val="ro-RO"/>
              </w:rPr>
              <w:t xml:space="preserve">MD-2001, </w:t>
            </w:r>
            <w:proofErr w:type="spellStart"/>
            <w:r w:rsidRPr="00C54068">
              <w:rPr>
                <w:b/>
                <w:lang w:val="ro-RO"/>
              </w:rPr>
              <w:t>Chişinău</w:t>
            </w:r>
            <w:proofErr w:type="spellEnd"/>
            <w:r w:rsidRPr="00C54068">
              <w:rPr>
                <w:b/>
                <w:lang w:val="ro-RO"/>
              </w:rPr>
              <w:t>, Republica Moldova</w:t>
            </w:r>
          </w:p>
          <w:p w:rsidR="00296162" w:rsidRPr="00C54068" w:rsidRDefault="00296162" w:rsidP="0088289E">
            <w:pPr>
              <w:spacing w:line="256" w:lineRule="auto"/>
              <w:jc w:val="center"/>
              <w:rPr>
                <w:b/>
                <w:lang w:val="ro-RO"/>
              </w:rPr>
            </w:pPr>
            <w:r w:rsidRPr="00C54068">
              <w:rPr>
                <w:b/>
                <w:lang w:val="ro-RO"/>
              </w:rPr>
              <w:t>Tel/Fax: /373-22/ 27-24-53,</w:t>
            </w:r>
          </w:p>
          <w:p w:rsidR="00296162" w:rsidRPr="00C54068" w:rsidRDefault="00296162" w:rsidP="0088289E">
            <w:pPr>
              <w:spacing w:line="256" w:lineRule="auto"/>
              <w:jc w:val="center"/>
              <w:rPr>
                <w:b/>
                <w:lang w:val="ro-RO"/>
              </w:rPr>
            </w:pPr>
            <w:r w:rsidRPr="00C54068">
              <w:rPr>
                <w:b/>
                <w:lang w:val="ro-RO"/>
              </w:rPr>
              <w:t xml:space="preserve">/373-22/ </w:t>
            </w:r>
            <w:r>
              <w:rPr>
                <w:b/>
                <w:lang w:val="ro-RO"/>
              </w:rPr>
              <w:t>21</w:t>
            </w:r>
            <w:r w:rsidRPr="00C54068">
              <w:rPr>
                <w:b/>
                <w:lang w:val="ro-RO"/>
              </w:rPr>
              <w:t>-0</w:t>
            </w:r>
            <w:r>
              <w:rPr>
                <w:b/>
                <w:lang w:val="ro-RO"/>
              </w:rPr>
              <w:t>5</w:t>
            </w:r>
            <w:r w:rsidRPr="00C54068">
              <w:rPr>
                <w:b/>
                <w:lang w:val="ro-RO"/>
              </w:rPr>
              <w:t>-</w:t>
            </w:r>
            <w:r>
              <w:rPr>
                <w:b/>
                <w:lang w:val="ro-RO"/>
              </w:rPr>
              <w:t>02</w:t>
            </w:r>
          </w:p>
          <w:p w:rsidR="00296162" w:rsidRPr="00C54068" w:rsidRDefault="00296162" w:rsidP="0088289E">
            <w:pPr>
              <w:spacing w:line="256" w:lineRule="auto"/>
              <w:jc w:val="center"/>
              <w:rPr>
                <w:b/>
                <w:lang w:val="ro-RO"/>
              </w:rPr>
            </w:pPr>
            <w:r w:rsidRPr="00C54068">
              <w:rPr>
                <w:b/>
                <w:lang w:val="ro-RO"/>
              </w:rPr>
              <w:t xml:space="preserve">E-mail: </w:t>
            </w:r>
            <w:hyperlink r:id="rId5" w:history="1">
              <w:r w:rsidRPr="00C54068">
                <w:rPr>
                  <w:b/>
                  <w:color w:val="0563C1"/>
                  <w:u w:val="single"/>
                  <w:lang w:val="ro-RO"/>
                </w:rPr>
                <w:t>ssv.asm.md@gmail.com</w:t>
              </w:r>
            </w:hyperlink>
            <w:r w:rsidRPr="00C54068">
              <w:rPr>
                <w:b/>
                <w:lang w:val="ro-RO"/>
              </w:rPr>
              <w:t>,</w:t>
            </w:r>
          </w:p>
          <w:p w:rsidR="00296162" w:rsidRPr="00C54068" w:rsidRDefault="00296162" w:rsidP="0088289E">
            <w:pPr>
              <w:spacing w:line="256" w:lineRule="auto"/>
              <w:jc w:val="center"/>
              <w:rPr>
                <w:b/>
                <w:lang w:val="ro-RO"/>
              </w:rPr>
            </w:pPr>
            <w:hyperlink r:id="rId6" w:history="1">
              <w:r w:rsidRPr="00C54068">
                <w:rPr>
                  <w:b/>
                  <w:color w:val="0563C1"/>
                  <w:u w:val="single"/>
                  <w:lang w:val="ro-RO"/>
                </w:rPr>
                <w:t>sectiamed@asm.md</w:t>
              </w:r>
            </w:hyperlink>
          </w:p>
          <w:p w:rsidR="00296162" w:rsidRPr="00C54068" w:rsidRDefault="00296162" w:rsidP="0088289E">
            <w:pPr>
              <w:spacing w:line="256" w:lineRule="auto"/>
              <w:jc w:val="center"/>
              <w:rPr>
                <w:b/>
                <w:lang w:val="ro-RO"/>
              </w:rPr>
            </w:pPr>
          </w:p>
          <w:p w:rsidR="00296162" w:rsidRPr="002B0AEB" w:rsidRDefault="00296162" w:rsidP="0088289E">
            <w:pPr>
              <w:jc w:val="center"/>
              <w:rPr>
                <w:b/>
                <w:color w:val="FF0000"/>
                <w:lang w:val="ro-RO"/>
              </w:rPr>
            </w:pPr>
          </w:p>
        </w:tc>
        <w:tc>
          <w:tcPr>
            <w:tcW w:w="1440" w:type="dxa"/>
          </w:tcPr>
          <w:p w:rsidR="00296162" w:rsidRPr="00C54068" w:rsidRDefault="00296162" w:rsidP="0088289E">
            <w:pPr>
              <w:spacing w:line="256" w:lineRule="auto"/>
              <w:ind w:left="-70" w:firstLine="12"/>
              <w:jc w:val="center"/>
              <w:rPr>
                <w:b/>
                <w:lang w:val="ro-RO"/>
              </w:rPr>
            </w:pPr>
            <w:r w:rsidRPr="00C54068">
              <w:rPr>
                <w:noProof/>
              </w:rPr>
              <w:drawing>
                <wp:inline distT="0" distB="0" distL="0" distR="0" wp14:anchorId="2BDBEBFD" wp14:editId="2EF91869">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296162" w:rsidRPr="002B0AEB" w:rsidRDefault="00296162" w:rsidP="0088289E">
            <w:pPr>
              <w:jc w:val="center"/>
              <w:rPr>
                <w:b/>
                <w:color w:val="FF0000"/>
                <w:lang w:val="ro-RO"/>
              </w:rPr>
            </w:pPr>
          </w:p>
        </w:tc>
        <w:tc>
          <w:tcPr>
            <w:tcW w:w="4500" w:type="dxa"/>
          </w:tcPr>
          <w:p w:rsidR="00296162" w:rsidRPr="00C54068" w:rsidRDefault="00296162" w:rsidP="0088289E">
            <w:pPr>
              <w:spacing w:line="256" w:lineRule="auto"/>
              <w:jc w:val="center"/>
              <w:rPr>
                <w:b/>
                <w:sz w:val="24"/>
                <w:szCs w:val="24"/>
                <w:lang w:val="ro-RO"/>
              </w:rPr>
            </w:pPr>
          </w:p>
          <w:p w:rsidR="00296162" w:rsidRPr="00C54068" w:rsidRDefault="00296162" w:rsidP="0088289E">
            <w:pPr>
              <w:spacing w:line="256" w:lineRule="auto"/>
              <w:jc w:val="center"/>
              <w:rPr>
                <w:b/>
                <w:sz w:val="24"/>
                <w:szCs w:val="24"/>
                <w:lang w:val="ro-RO"/>
              </w:rPr>
            </w:pPr>
            <w:r w:rsidRPr="00C54068">
              <w:rPr>
                <w:b/>
                <w:sz w:val="24"/>
                <w:szCs w:val="24"/>
                <w:lang w:val="ro-RO"/>
              </w:rPr>
              <w:t>ACADEMY OF SCIENCES</w:t>
            </w:r>
          </w:p>
          <w:p w:rsidR="00296162" w:rsidRPr="00C54068" w:rsidRDefault="00296162" w:rsidP="0088289E">
            <w:pPr>
              <w:spacing w:line="256" w:lineRule="auto"/>
              <w:jc w:val="center"/>
              <w:rPr>
                <w:b/>
                <w:sz w:val="24"/>
                <w:szCs w:val="24"/>
                <w:lang w:val="ro-RO"/>
              </w:rPr>
            </w:pPr>
            <w:r w:rsidRPr="00C54068">
              <w:rPr>
                <w:b/>
                <w:sz w:val="24"/>
                <w:szCs w:val="24"/>
                <w:lang w:val="ro-RO"/>
              </w:rPr>
              <w:t>OF MOLDOVA</w:t>
            </w:r>
          </w:p>
          <w:p w:rsidR="00296162" w:rsidRPr="00C54068" w:rsidRDefault="00296162" w:rsidP="0088289E">
            <w:pPr>
              <w:spacing w:line="256" w:lineRule="auto"/>
              <w:ind w:left="691"/>
              <w:rPr>
                <w:b/>
                <w:sz w:val="24"/>
                <w:szCs w:val="24"/>
                <w:lang w:val="ro-RO"/>
              </w:rPr>
            </w:pPr>
            <w:r w:rsidRPr="00C54068">
              <w:rPr>
                <w:b/>
                <w:sz w:val="24"/>
                <w:szCs w:val="24"/>
                <w:lang w:val="ro-RO"/>
              </w:rPr>
              <w:t xml:space="preserve"> SECTION LIFE SCIENCES</w:t>
            </w:r>
          </w:p>
          <w:p w:rsidR="00296162" w:rsidRPr="00C54068" w:rsidRDefault="00296162" w:rsidP="0088289E">
            <w:pPr>
              <w:spacing w:line="256" w:lineRule="auto"/>
              <w:ind w:left="691"/>
              <w:rPr>
                <w:b/>
                <w:lang w:val="ro-RO"/>
              </w:rPr>
            </w:pPr>
          </w:p>
          <w:p w:rsidR="00296162" w:rsidRPr="00C54068" w:rsidRDefault="00296162" w:rsidP="0088289E">
            <w:pPr>
              <w:spacing w:line="256" w:lineRule="auto"/>
              <w:jc w:val="center"/>
              <w:rPr>
                <w:b/>
                <w:lang w:val="ro-RO"/>
              </w:rPr>
            </w:pPr>
            <w:r w:rsidRPr="00C54068">
              <w:rPr>
                <w:b/>
                <w:lang w:val="ro-RO"/>
              </w:rPr>
              <w:t>Stefan cel Mare Ave., 1</w:t>
            </w:r>
          </w:p>
          <w:p w:rsidR="00296162" w:rsidRPr="00C54068" w:rsidRDefault="00296162" w:rsidP="0088289E">
            <w:pPr>
              <w:spacing w:line="256" w:lineRule="auto"/>
              <w:jc w:val="center"/>
              <w:rPr>
                <w:b/>
                <w:lang w:val="ro-RO"/>
              </w:rPr>
            </w:pPr>
            <w:r w:rsidRPr="00C54068">
              <w:rPr>
                <w:b/>
                <w:lang w:val="ro-RO"/>
              </w:rPr>
              <w:t xml:space="preserve">MD-2001 </w:t>
            </w:r>
            <w:proofErr w:type="spellStart"/>
            <w:r w:rsidRPr="00C54068">
              <w:rPr>
                <w:b/>
                <w:lang w:val="ro-RO"/>
              </w:rPr>
              <w:t>Chisinau</w:t>
            </w:r>
            <w:proofErr w:type="spellEnd"/>
            <w:r w:rsidRPr="00C54068">
              <w:rPr>
                <w:b/>
                <w:lang w:val="ro-RO"/>
              </w:rPr>
              <w:t>, Republic of Moldova</w:t>
            </w:r>
          </w:p>
          <w:p w:rsidR="00296162" w:rsidRPr="00C54068" w:rsidRDefault="00296162" w:rsidP="0088289E">
            <w:pPr>
              <w:spacing w:line="256" w:lineRule="auto"/>
              <w:jc w:val="center"/>
              <w:rPr>
                <w:b/>
                <w:lang w:val="ro-RO"/>
              </w:rPr>
            </w:pPr>
            <w:r w:rsidRPr="00C54068">
              <w:rPr>
                <w:b/>
                <w:lang w:val="ro-RO"/>
              </w:rPr>
              <w:t>Tel/Fax: /373-22/ 27-24-53,</w:t>
            </w:r>
          </w:p>
          <w:p w:rsidR="00296162" w:rsidRPr="00C54068" w:rsidRDefault="00296162" w:rsidP="0088289E">
            <w:pPr>
              <w:spacing w:line="256" w:lineRule="auto"/>
              <w:jc w:val="center"/>
              <w:rPr>
                <w:b/>
                <w:lang w:val="ro-RO"/>
              </w:rPr>
            </w:pPr>
            <w:r w:rsidRPr="00C54068">
              <w:rPr>
                <w:b/>
                <w:lang w:val="ro-RO"/>
              </w:rPr>
              <w:t>/373-22/ 2</w:t>
            </w:r>
            <w:r>
              <w:rPr>
                <w:b/>
                <w:lang w:val="ro-RO"/>
              </w:rPr>
              <w:t>1</w:t>
            </w:r>
            <w:r w:rsidRPr="00C54068">
              <w:rPr>
                <w:b/>
                <w:lang w:val="ro-RO"/>
              </w:rPr>
              <w:t>-0</w:t>
            </w:r>
            <w:r>
              <w:rPr>
                <w:b/>
                <w:lang w:val="ro-RO"/>
              </w:rPr>
              <w:t>5</w:t>
            </w:r>
            <w:r w:rsidRPr="00C54068">
              <w:rPr>
                <w:b/>
                <w:lang w:val="ro-RO"/>
              </w:rPr>
              <w:t>-</w:t>
            </w:r>
            <w:r>
              <w:rPr>
                <w:b/>
                <w:lang w:val="ro-RO"/>
              </w:rPr>
              <w:t>02</w:t>
            </w:r>
          </w:p>
          <w:p w:rsidR="00296162" w:rsidRPr="00C54068" w:rsidRDefault="00296162" w:rsidP="0088289E">
            <w:pPr>
              <w:spacing w:line="256" w:lineRule="auto"/>
              <w:jc w:val="center"/>
              <w:rPr>
                <w:b/>
                <w:lang w:val="ro-RO"/>
              </w:rPr>
            </w:pPr>
            <w:r w:rsidRPr="00C54068">
              <w:rPr>
                <w:b/>
                <w:lang w:val="ro-RO"/>
              </w:rPr>
              <w:t xml:space="preserve">E-mail: </w:t>
            </w:r>
            <w:hyperlink r:id="rId8" w:history="1">
              <w:r w:rsidRPr="00253C67">
                <w:rPr>
                  <w:rStyle w:val="Hyperlink"/>
                  <w:b/>
                  <w:lang w:val="ro-RO"/>
                </w:rPr>
                <w:t>ssv.asm.md@gmail.com</w:t>
              </w:r>
            </w:hyperlink>
            <w:r w:rsidRPr="00C54068">
              <w:rPr>
                <w:b/>
                <w:lang w:val="ro-RO"/>
              </w:rPr>
              <w:t>,</w:t>
            </w:r>
          </w:p>
          <w:p w:rsidR="00296162" w:rsidRPr="002B0AEB" w:rsidRDefault="00296162" w:rsidP="0088289E">
            <w:pPr>
              <w:jc w:val="center"/>
              <w:rPr>
                <w:b/>
                <w:color w:val="FF0000"/>
                <w:lang w:val="ro-RO"/>
              </w:rPr>
            </w:pPr>
            <w:hyperlink r:id="rId9" w:history="1">
              <w:r w:rsidRPr="00C54068">
                <w:rPr>
                  <w:b/>
                  <w:color w:val="0563C1"/>
                  <w:u w:val="single"/>
                  <w:lang w:val="ro-RO"/>
                </w:rPr>
                <w:t>sectiamed@asm.md</w:t>
              </w:r>
            </w:hyperlink>
          </w:p>
        </w:tc>
      </w:tr>
    </w:tbl>
    <w:p w:rsidR="00296162" w:rsidRDefault="00296162" w:rsidP="00296162">
      <w:pPr>
        <w:jc w:val="center"/>
        <w:rPr>
          <w:b/>
          <w:color w:val="FF0000"/>
          <w:sz w:val="24"/>
          <w:szCs w:val="24"/>
          <w:lang w:val="ro-RO"/>
        </w:rPr>
      </w:pPr>
    </w:p>
    <w:p w:rsidR="00296162" w:rsidRDefault="00296162" w:rsidP="00296162">
      <w:pPr>
        <w:jc w:val="center"/>
        <w:rPr>
          <w:b/>
          <w:color w:val="FF0000"/>
          <w:sz w:val="24"/>
          <w:szCs w:val="24"/>
          <w:lang w:val="ro-RO"/>
        </w:rPr>
      </w:pPr>
      <w:r w:rsidRPr="002B0AEB">
        <w:rPr>
          <w:b/>
          <w:color w:val="FF0000"/>
          <w:sz w:val="24"/>
          <w:szCs w:val="24"/>
          <w:lang w:val="ro-RO"/>
        </w:rPr>
        <w:t>AVIZUL BIROULUI SECȚIEI ȘTIINȚE ALE VIEȚII</w:t>
      </w:r>
    </w:p>
    <w:p w:rsidR="00296162" w:rsidRPr="00907286" w:rsidRDefault="00296162" w:rsidP="00296162">
      <w:pPr>
        <w:jc w:val="center"/>
        <w:rPr>
          <w:b/>
          <w:sz w:val="24"/>
          <w:szCs w:val="24"/>
          <w:lang w:val="ro-RO"/>
        </w:rPr>
      </w:pPr>
    </w:p>
    <w:p w:rsidR="00296162" w:rsidRDefault="00296162" w:rsidP="00296162">
      <w:pPr>
        <w:jc w:val="both"/>
        <w:rPr>
          <w:b/>
          <w:sz w:val="24"/>
          <w:szCs w:val="24"/>
          <w:lang w:val="ro-RO"/>
        </w:rPr>
      </w:pPr>
      <w:bookmarkStart w:id="0" w:name="_Hlk35666519"/>
      <w:r w:rsidRPr="00907286">
        <w:rPr>
          <w:b/>
          <w:sz w:val="24"/>
          <w:szCs w:val="24"/>
          <w:lang w:val="ro-RO"/>
        </w:rPr>
        <w:t>asupra r</w:t>
      </w:r>
      <w:r>
        <w:rPr>
          <w:b/>
          <w:sz w:val="24"/>
          <w:szCs w:val="24"/>
          <w:lang w:val="ro-RO"/>
        </w:rPr>
        <w:t xml:space="preserve">aportului pe </w:t>
      </w:r>
      <w:r w:rsidRPr="00907286">
        <w:rPr>
          <w:b/>
          <w:sz w:val="24"/>
          <w:szCs w:val="24"/>
          <w:lang w:val="ro-RO"/>
        </w:rPr>
        <w:t xml:space="preserve">proiectul </w:t>
      </w:r>
      <w:r>
        <w:rPr>
          <w:b/>
          <w:sz w:val="24"/>
          <w:szCs w:val="24"/>
          <w:lang w:val="ro-RO"/>
        </w:rPr>
        <w:t xml:space="preserve">din cadrul </w:t>
      </w:r>
      <w:r w:rsidRPr="00612D81">
        <w:rPr>
          <w:b/>
          <w:sz w:val="24"/>
          <w:szCs w:val="24"/>
          <w:lang w:val="ro-RO"/>
        </w:rPr>
        <w:t>concursul</w:t>
      </w:r>
      <w:r>
        <w:rPr>
          <w:b/>
          <w:sz w:val="24"/>
          <w:szCs w:val="24"/>
          <w:lang w:val="ro-RO"/>
        </w:rPr>
        <w:t>ui</w:t>
      </w:r>
      <w:r w:rsidRPr="00612D81">
        <w:rPr>
          <w:b/>
          <w:sz w:val="24"/>
          <w:szCs w:val="24"/>
          <w:lang w:val="ro-RO"/>
        </w:rPr>
        <w:t xml:space="preserve"> ”Stimularea excelenței cercetărilor în cercetare” (2025-2026)</w:t>
      </w:r>
      <w:bookmarkStart w:id="1" w:name="_Hlk91045286"/>
      <w:r>
        <w:rPr>
          <w:b/>
          <w:sz w:val="24"/>
          <w:szCs w:val="24"/>
          <w:lang w:val="ro-RO"/>
        </w:rPr>
        <w:t xml:space="preserve">, </w:t>
      </w:r>
      <w:r w:rsidRPr="00326B24">
        <w:rPr>
          <w:b/>
          <w:sz w:val="24"/>
          <w:szCs w:val="24"/>
          <w:lang w:val="ro-RO"/>
        </w:rPr>
        <w:t xml:space="preserve">conducătorul proiectului </w:t>
      </w:r>
      <w:r>
        <w:rPr>
          <w:b/>
          <w:sz w:val="24"/>
          <w:szCs w:val="24"/>
          <w:lang w:val="ro-RO"/>
        </w:rPr>
        <w:t xml:space="preserve">– </w:t>
      </w:r>
      <w:bookmarkStart w:id="2" w:name="_Hlk217293878"/>
      <w:r w:rsidRPr="00612D81">
        <w:rPr>
          <w:b/>
          <w:sz w:val="24"/>
          <w:szCs w:val="24"/>
          <w:lang w:val="ro-RO"/>
        </w:rPr>
        <w:t>dr. hab</w:t>
      </w:r>
      <w:r>
        <w:rPr>
          <w:b/>
          <w:sz w:val="24"/>
          <w:szCs w:val="24"/>
          <w:lang w:val="ro-RO"/>
        </w:rPr>
        <w:t xml:space="preserve">. </w:t>
      </w:r>
      <w:r>
        <w:rPr>
          <w:b/>
          <w:sz w:val="24"/>
          <w:szCs w:val="24"/>
          <w:lang w:val="ro-RO"/>
        </w:rPr>
        <w:t>Voloșciuc Leonid</w:t>
      </w:r>
      <w:r>
        <w:rPr>
          <w:b/>
          <w:sz w:val="24"/>
          <w:szCs w:val="24"/>
          <w:lang w:val="ro-RO"/>
        </w:rPr>
        <w:t xml:space="preserve">, </w:t>
      </w:r>
      <w:bookmarkEnd w:id="2"/>
      <w:r w:rsidRPr="00CC2322">
        <w:rPr>
          <w:b/>
          <w:sz w:val="24"/>
          <w:szCs w:val="24"/>
          <w:lang w:val="ro-RO"/>
        </w:rPr>
        <w:t>Prioritatea Strategică</w:t>
      </w:r>
      <w:r>
        <w:rPr>
          <w:b/>
          <w:sz w:val="24"/>
          <w:szCs w:val="24"/>
          <w:lang w:val="ro-RO"/>
        </w:rPr>
        <w:t xml:space="preserve"> II: </w:t>
      </w:r>
      <w:r w:rsidRPr="003D57E7">
        <w:rPr>
          <w:b/>
          <w:sz w:val="24"/>
          <w:szCs w:val="24"/>
          <w:lang w:val="ro-MD"/>
        </w:rPr>
        <w:t>Agricultură durabilă, securitate alimentară</w:t>
      </w:r>
      <w:r>
        <w:rPr>
          <w:b/>
          <w:sz w:val="24"/>
          <w:szCs w:val="24"/>
          <w:lang w:val="ro-RO"/>
        </w:rPr>
        <w:t>,</w:t>
      </w:r>
      <w:r w:rsidRPr="00CC2322">
        <w:rPr>
          <w:b/>
          <w:sz w:val="24"/>
          <w:szCs w:val="24"/>
          <w:lang w:val="ro-RO"/>
        </w:rPr>
        <w:t xml:space="preserve"> </w:t>
      </w:r>
      <w:r>
        <w:rPr>
          <w:b/>
          <w:sz w:val="24"/>
          <w:szCs w:val="24"/>
          <w:lang w:val="ro-RO"/>
        </w:rPr>
        <w:t>p</w:t>
      </w:r>
      <w:r w:rsidRPr="00CC2322">
        <w:rPr>
          <w:b/>
          <w:sz w:val="24"/>
          <w:szCs w:val="24"/>
          <w:lang w:val="ro-RO"/>
        </w:rPr>
        <w:t xml:space="preserve">erfectat în baza audierii raportului </w:t>
      </w:r>
      <w:r w:rsidRPr="001A2592">
        <w:rPr>
          <w:b/>
          <w:sz w:val="24"/>
          <w:szCs w:val="24"/>
          <w:lang w:val="ro-RO"/>
        </w:rPr>
        <w:t xml:space="preserve">științific </w:t>
      </w:r>
      <w:r w:rsidRPr="00CC2322">
        <w:rPr>
          <w:b/>
          <w:sz w:val="24"/>
          <w:szCs w:val="24"/>
          <w:lang w:val="ro-RO"/>
        </w:rPr>
        <w:t>anual a</w:t>
      </w:r>
      <w:r>
        <w:rPr>
          <w:b/>
          <w:sz w:val="24"/>
          <w:szCs w:val="24"/>
          <w:lang w:val="ro-RO"/>
        </w:rPr>
        <w:t>l</w:t>
      </w:r>
      <w:r w:rsidRPr="00CC2322">
        <w:rPr>
          <w:b/>
          <w:sz w:val="24"/>
          <w:szCs w:val="24"/>
          <w:lang w:val="ro-RO"/>
        </w:rPr>
        <w:t xml:space="preserve"> implementării proiectelor din domeniile cercetării și inovării </w:t>
      </w:r>
      <w:r w:rsidRPr="00416E8C">
        <w:rPr>
          <w:b/>
          <w:sz w:val="24"/>
          <w:szCs w:val="24"/>
          <w:lang w:val="ro-RO"/>
        </w:rPr>
        <w:t xml:space="preserve">la </w:t>
      </w:r>
      <w:r w:rsidRPr="00612D81">
        <w:rPr>
          <w:b/>
          <w:sz w:val="24"/>
          <w:szCs w:val="24"/>
          <w:lang w:val="ro-RO"/>
        </w:rPr>
        <w:t xml:space="preserve">Adunarea Generală a secției </w:t>
      </w:r>
      <w:r w:rsidRPr="00416E8C">
        <w:rPr>
          <w:b/>
          <w:sz w:val="24"/>
          <w:szCs w:val="24"/>
          <w:lang w:val="ro-RO"/>
        </w:rPr>
        <w:t xml:space="preserve">din </w:t>
      </w:r>
      <w:r>
        <w:rPr>
          <w:b/>
          <w:sz w:val="24"/>
          <w:szCs w:val="24"/>
          <w:lang w:val="ro-RO"/>
        </w:rPr>
        <w:t xml:space="preserve">18.12.2025 </w:t>
      </w:r>
      <w:r w:rsidRPr="00CC2322">
        <w:rPr>
          <w:b/>
          <w:sz w:val="24"/>
          <w:szCs w:val="24"/>
          <w:lang w:val="ro-RO"/>
        </w:rPr>
        <w:t>și a concluziilor experților</w:t>
      </w:r>
      <w:r>
        <w:rPr>
          <w:b/>
          <w:sz w:val="24"/>
          <w:szCs w:val="24"/>
          <w:lang w:val="ro-RO"/>
        </w:rPr>
        <w:t>.</w:t>
      </w:r>
    </w:p>
    <w:bookmarkEnd w:id="1"/>
    <w:p w:rsidR="00296162" w:rsidRDefault="00296162" w:rsidP="00296162">
      <w:pPr>
        <w:jc w:val="both"/>
        <w:rPr>
          <w:b/>
          <w:sz w:val="24"/>
          <w:szCs w:val="24"/>
          <w:lang w:val="ro-RO"/>
        </w:rPr>
      </w:pPr>
    </w:p>
    <w:p w:rsidR="00296162" w:rsidRDefault="00296162" w:rsidP="00296162">
      <w:pPr>
        <w:shd w:val="clear" w:color="auto" w:fill="FFFFFF"/>
        <w:spacing w:line="276" w:lineRule="auto"/>
        <w:ind w:firstLine="567"/>
        <w:jc w:val="both"/>
        <w:rPr>
          <w:rFonts w:eastAsia="Calibri"/>
          <w:color w:val="000000"/>
          <w:sz w:val="24"/>
          <w:szCs w:val="24"/>
          <w:lang w:val="ro-RO" w:eastAsia="en-US"/>
        </w:rPr>
      </w:pPr>
      <w:r w:rsidRPr="00416E8C">
        <w:rPr>
          <w:rFonts w:eastAsia="Calibri"/>
          <w:b/>
          <w:sz w:val="24"/>
          <w:szCs w:val="24"/>
          <w:lang w:val="ro-RO" w:eastAsia="en-US"/>
        </w:rPr>
        <w:t>S-a discutat</w:t>
      </w:r>
      <w:r w:rsidRPr="00416E8C">
        <w:rPr>
          <w:rFonts w:eastAsia="Calibri"/>
          <w:sz w:val="24"/>
          <w:szCs w:val="24"/>
          <w:lang w:val="ro-RO" w:eastAsia="en-US"/>
        </w:rPr>
        <w:t xml:space="preserve">: </w:t>
      </w:r>
      <w:r w:rsidRPr="00416E8C">
        <w:rPr>
          <w:rFonts w:eastAsia="Calibri"/>
          <w:color w:val="000000"/>
          <w:sz w:val="24"/>
          <w:szCs w:val="24"/>
          <w:lang w:val="ro-RO" w:eastAsia="en-US"/>
        </w:rPr>
        <w:t xml:space="preserve">Raportul pe proiectul de cercetare din cadrul </w:t>
      </w:r>
      <w:r w:rsidRPr="00612D81">
        <w:rPr>
          <w:rFonts w:eastAsia="Calibri"/>
          <w:color w:val="000000"/>
          <w:sz w:val="24"/>
          <w:szCs w:val="24"/>
          <w:lang w:val="ro-RO" w:eastAsia="en-US"/>
        </w:rPr>
        <w:t>concursului ”Stimularea excelenței cercetărilor în cercetare” (2025-2026)</w:t>
      </w:r>
      <w:r w:rsidRPr="00416E8C">
        <w:rPr>
          <w:rFonts w:eastAsia="Calibri"/>
          <w:color w:val="000000"/>
          <w:sz w:val="24"/>
          <w:szCs w:val="24"/>
          <w:lang w:val="ro-RO" w:eastAsia="en-US"/>
        </w:rPr>
        <w:t xml:space="preserve">, etapa anului </w:t>
      </w:r>
      <w:r w:rsidRPr="00612D81">
        <w:rPr>
          <w:rFonts w:eastAsia="Calibri"/>
          <w:sz w:val="24"/>
          <w:szCs w:val="24"/>
          <w:lang w:val="ro-RO" w:eastAsia="en-US"/>
        </w:rPr>
        <w:t>2025</w:t>
      </w:r>
      <w:r w:rsidRPr="00195E73">
        <w:rPr>
          <w:rFonts w:eastAsia="Calibri"/>
          <w:color w:val="000000"/>
          <w:sz w:val="24"/>
          <w:szCs w:val="24"/>
          <w:lang w:val="ro-RO" w:eastAsia="en-US"/>
        </w:rPr>
        <w:t xml:space="preserve">, conducătorul proiectului – </w:t>
      </w:r>
      <w:r w:rsidRPr="00612D81">
        <w:rPr>
          <w:rFonts w:eastAsia="Calibri"/>
          <w:color w:val="000000"/>
          <w:sz w:val="24"/>
          <w:szCs w:val="24"/>
          <w:lang w:val="ro-RO" w:eastAsia="en-US"/>
        </w:rPr>
        <w:t>dr. hab</w:t>
      </w:r>
      <w:r>
        <w:rPr>
          <w:rFonts w:eastAsia="Calibri"/>
          <w:color w:val="000000"/>
          <w:sz w:val="24"/>
          <w:szCs w:val="24"/>
          <w:lang w:val="ro-RO" w:eastAsia="en-US"/>
        </w:rPr>
        <w:t>.</w:t>
      </w:r>
      <w:bookmarkStart w:id="3" w:name="_GoBack"/>
      <w:bookmarkEnd w:id="3"/>
      <w:r w:rsidRPr="00612D81">
        <w:rPr>
          <w:rFonts w:eastAsia="Calibri"/>
          <w:color w:val="000000"/>
          <w:sz w:val="24"/>
          <w:szCs w:val="24"/>
          <w:lang w:val="ro-RO" w:eastAsia="en-US"/>
        </w:rPr>
        <w:t xml:space="preserve"> </w:t>
      </w:r>
      <w:r w:rsidRPr="00296162">
        <w:rPr>
          <w:rFonts w:eastAsia="Calibri"/>
          <w:color w:val="000000"/>
          <w:sz w:val="24"/>
          <w:szCs w:val="24"/>
          <w:lang w:val="ro-RO" w:eastAsia="en-US"/>
        </w:rPr>
        <w:t>Voloșciuc Leonid</w:t>
      </w:r>
      <w:r w:rsidRPr="00612D81">
        <w:rPr>
          <w:rFonts w:eastAsia="Calibri"/>
          <w:color w:val="000000"/>
          <w:sz w:val="24"/>
          <w:szCs w:val="24"/>
          <w:lang w:val="ro-RO" w:eastAsia="en-US"/>
        </w:rPr>
        <w:t xml:space="preserve"> </w:t>
      </w:r>
    </w:p>
    <w:p w:rsidR="00296162" w:rsidRPr="00416E8C" w:rsidRDefault="00296162" w:rsidP="00296162">
      <w:pPr>
        <w:shd w:val="clear" w:color="auto" w:fill="FFFFFF"/>
        <w:spacing w:line="276" w:lineRule="auto"/>
        <w:ind w:firstLine="364"/>
        <w:jc w:val="both"/>
        <w:rPr>
          <w:rFonts w:eastAsia="Calibri"/>
          <w:sz w:val="24"/>
          <w:szCs w:val="24"/>
          <w:lang w:val="ro-RO" w:eastAsia="en-US"/>
        </w:rPr>
      </w:pPr>
    </w:p>
    <w:p w:rsidR="00296162" w:rsidRPr="00416E8C" w:rsidRDefault="00296162" w:rsidP="00296162">
      <w:pPr>
        <w:shd w:val="clear" w:color="auto" w:fill="FFFFFF"/>
        <w:spacing w:line="276" w:lineRule="auto"/>
        <w:ind w:firstLine="567"/>
        <w:jc w:val="both"/>
        <w:rPr>
          <w:rFonts w:eastAsia="Calibri"/>
          <w:b/>
          <w:sz w:val="24"/>
          <w:szCs w:val="24"/>
          <w:lang w:val="ro-RO" w:eastAsia="en-US"/>
        </w:rPr>
      </w:pPr>
      <w:r w:rsidRPr="00416E8C">
        <w:rPr>
          <w:rFonts w:eastAsia="Calibri"/>
          <w:b/>
          <w:sz w:val="24"/>
          <w:szCs w:val="24"/>
          <w:lang w:val="ro-RO" w:eastAsia="en-US"/>
        </w:rPr>
        <w:t>S-a decis:</w:t>
      </w:r>
    </w:p>
    <w:p w:rsidR="00296162" w:rsidRPr="00416E8C" w:rsidRDefault="00296162" w:rsidP="00296162">
      <w:pPr>
        <w:spacing w:line="276" w:lineRule="auto"/>
        <w:ind w:firstLine="567"/>
        <w:jc w:val="both"/>
        <w:rPr>
          <w:rFonts w:eastAsia="Calibri"/>
          <w:sz w:val="24"/>
          <w:szCs w:val="24"/>
          <w:lang w:val="ro-RO" w:eastAsia="en-US"/>
        </w:rPr>
      </w:pPr>
      <w:r w:rsidRPr="00416E8C">
        <w:rPr>
          <w:rFonts w:eastAsia="Calibri"/>
          <w:sz w:val="24"/>
          <w:szCs w:val="24"/>
          <w:lang w:val="ro-RO" w:eastAsia="en-US"/>
        </w:rPr>
        <w:t>Luând în considere dezbaterile din cadrul audierii publice și avizele experților, se aprobă următorul aviz consultativ asupra proiectului:</w:t>
      </w:r>
    </w:p>
    <w:p w:rsidR="00296162" w:rsidRPr="00416E8C" w:rsidRDefault="00296162" w:rsidP="00296162">
      <w:pPr>
        <w:spacing w:line="276" w:lineRule="auto"/>
        <w:ind w:firstLine="567"/>
        <w:rPr>
          <w:rFonts w:eastAsia="Calibri"/>
          <w:sz w:val="24"/>
          <w:szCs w:val="24"/>
          <w:lang w:val="ro-RO" w:eastAsia="en-US"/>
        </w:rPr>
      </w:pPr>
      <w:r w:rsidRPr="00416E8C">
        <w:rPr>
          <w:rFonts w:eastAsia="Calibri"/>
          <w:sz w:val="24"/>
          <w:szCs w:val="24"/>
          <w:lang w:val="ro-RO" w:eastAsia="en-US"/>
        </w:rPr>
        <w:t>Proiectul este „</w:t>
      </w:r>
      <w:r w:rsidRPr="00416E8C">
        <w:rPr>
          <w:rFonts w:eastAsia="Calibri"/>
          <w:b/>
          <w:sz w:val="24"/>
          <w:szCs w:val="24"/>
          <w:lang w:val="ro-RO" w:eastAsia="en-US"/>
        </w:rPr>
        <w:t>Aprobat</w:t>
      </w:r>
      <w:r w:rsidRPr="00416E8C">
        <w:rPr>
          <w:rFonts w:eastAsia="Calibri"/>
          <w:sz w:val="24"/>
          <w:szCs w:val="24"/>
          <w:lang w:val="ro-RO" w:eastAsia="en-US"/>
        </w:rPr>
        <w:t>”, cu calificativul general „</w:t>
      </w:r>
      <w:r>
        <w:rPr>
          <w:rFonts w:eastAsia="Calibri"/>
          <w:b/>
          <w:sz w:val="24"/>
          <w:szCs w:val="24"/>
          <w:lang w:val="ro-RO" w:eastAsia="en-US"/>
        </w:rPr>
        <w:t>Foarte bine</w:t>
      </w:r>
      <w:r w:rsidRPr="00416E8C">
        <w:rPr>
          <w:rFonts w:eastAsia="Calibri"/>
          <w:sz w:val="24"/>
          <w:szCs w:val="24"/>
          <w:lang w:val="ro-RO" w:eastAsia="en-US"/>
        </w:rPr>
        <w:t>” (punctaj calculat</w:t>
      </w:r>
      <w:r>
        <w:rPr>
          <w:rFonts w:eastAsia="Calibri"/>
          <w:sz w:val="24"/>
          <w:szCs w:val="24"/>
          <w:lang w:val="ro-RO" w:eastAsia="en-US"/>
        </w:rPr>
        <w:t xml:space="preserve"> – 2</w:t>
      </w:r>
      <w:r>
        <w:rPr>
          <w:rFonts w:eastAsia="Calibri"/>
          <w:sz w:val="24"/>
          <w:szCs w:val="24"/>
          <w:lang w:val="ro-RO" w:eastAsia="en-US"/>
        </w:rPr>
        <w:t>6</w:t>
      </w:r>
      <w:r>
        <w:rPr>
          <w:rFonts w:eastAsia="Calibri"/>
          <w:sz w:val="24"/>
          <w:szCs w:val="24"/>
          <w:lang w:val="ro-RO" w:eastAsia="en-US"/>
        </w:rPr>
        <w:t>,2</w:t>
      </w:r>
      <w:r>
        <w:rPr>
          <w:rFonts w:eastAsia="Calibri"/>
          <w:sz w:val="24"/>
          <w:szCs w:val="24"/>
          <w:lang w:val="ro-RO" w:eastAsia="en-US"/>
        </w:rPr>
        <w:t>5</w:t>
      </w:r>
      <w:r w:rsidRPr="00416E8C">
        <w:rPr>
          <w:rFonts w:eastAsia="Calibri"/>
          <w:sz w:val="24"/>
          <w:szCs w:val="24"/>
          <w:lang w:val="ro-RO" w:eastAsia="en-US"/>
        </w:rPr>
        <w:t>).</w:t>
      </w:r>
    </w:p>
    <w:p w:rsidR="00296162" w:rsidRDefault="00296162" w:rsidP="00296162">
      <w:pPr>
        <w:spacing w:line="276" w:lineRule="auto"/>
        <w:ind w:firstLine="567"/>
        <w:rPr>
          <w:sz w:val="24"/>
          <w:szCs w:val="24"/>
          <w:lang w:val="ro-RO"/>
        </w:rPr>
      </w:pPr>
    </w:p>
    <w:p w:rsidR="00296162" w:rsidRPr="00416E8C" w:rsidRDefault="00296162" w:rsidP="00296162">
      <w:pPr>
        <w:spacing w:line="276" w:lineRule="auto"/>
        <w:ind w:firstLine="567"/>
        <w:rPr>
          <w:sz w:val="24"/>
          <w:szCs w:val="24"/>
          <w:lang w:val="ro-RO"/>
        </w:rPr>
      </w:pPr>
      <w:r w:rsidRPr="00416E8C">
        <w:rPr>
          <w:sz w:val="24"/>
          <w:szCs w:val="24"/>
          <w:lang w:val="ro-RO"/>
        </w:rPr>
        <w:t>Calificative pe criterii:</w:t>
      </w:r>
    </w:p>
    <w:p w:rsidR="00296162" w:rsidRDefault="00296162" w:rsidP="00296162">
      <w:pPr>
        <w:jc w:val="both"/>
        <w:rPr>
          <w:b/>
          <w:sz w:val="24"/>
          <w:szCs w:val="24"/>
          <w:lang w:val="ro-RO"/>
        </w:rPr>
      </w:pPr>
    </w:p>
    <w:p w:rsidR="00296162" w:rsidRPr="007D7D25" w:rsidRDefault="00296162" w:rsidP="00296162">
      <w:pPr>
        <w:pStyle w:val="ListParagraph"/>
        <w:numPr>
          <w:ilvl w:val="0"/>
          <w:numId w:val="1"/>
        </w:numPr>
        <w:ind w:left="284" w:hanging="284"/>
        <w:jc w:val="both"/>
        <w:rPr>
          <w:bCs/>
          <w:sz w:val="24"/>
          <w:szCs w:val="24"/>
          <w:lang w:val="ro-RO"/>
        </w:rPr>
      </w:pPr>
      <w:r w:rsidRPr="007D7D25">
        <w:rPr>
          <w:bCs/>
          <w:i/>
          <w:iCs/>
          <w:sz w:val="24"/>
          <w:szCs w:val="24"/>
          <w:lang w:val="ro-RO"/>
        </w:rPr>
        <w:t>Atingerea scopului, obiectivelor și rezultatelor declarate în propunerea de proiect în corelare cu cele obținute pe durata executării/implementării proiectului</w:t>
      </w:r>
      <w:r w:rsidRPr="0074671B">
        <w:rPr>
          <w:bCs/>
          <w:sz w:val="24"/>
          <w:szCs w:val="24"/>
          <w:lang w:val="ro-RO"/>
        </w:rPr>
        <w:t xml:space="preserve"> </w:t>
      </w:r>
      <w:r>
        <w:rPr>
          <w:bCs/>
          <w:sz w:val="24"/>
          <w:szCs w:val="24"/>
          <w:lang w:val="ro-RO"/>
        </w:rPr>
        <w:t>-</w:t>
      </w:r>
      <w:r w:rsidRPr="006356BC">
        <w:rPr>
          <w:bCs/>
          <w:sz w:val="24"/>
          <w:szCs w:val="24"/>
          <w:lang w:val="ro-RO"/>
        </w:rPr>
        <w:t xml:space="preserve"> </w:t>
      </w:r>
      <w:r w:rsidRPr="00416E8C">
        <w:rPr>
          <w:sz w:val="24"/>
          <w:szCs w:val="24"/>
          <w:lang w:val="ro-RO"/>
        </w:rPr>
        <w:t>“</w:t>
      </w:r>
      <w:r>
        <w:rPr>
          <w:sz w:val="24"/>
          <w:szCs w:val="24"/>
          <w:lang w:val="ro-RO"/>
        </w:rPr>
        <w:t>4</w:t>
      </w:r>
      <w:r w:rsidRPr="00416E8C">
        <w:rPr>
          <w:sz w:val="24"/>
          <w:szCs w:val="24"/>
          <w:lang w:val="ro-RO"/>
        </w:rPr>
        <w:t>”.</w:t>
      </w:r>
    </w:p>
    <w:p w:rsidR="00296162" w:rsidRDefault="00296162" w:rsidP="00296162">
      <w:pPr>
        <w:jc w:val="both"/>
        <w:rPr>
          <w:bCs/>
          <w:sz w:val="24"/>
          <w:szCs w:val="24"/>
          <w:lang w:val="ro-RO"/>
        </w:rPr>
      </w:pPr>
    </w:p>
    <w:p w:rsidR="00296162" w:rsidRDefault="00296162" w:rsidP="00296162">
      <w:pPr>
        <w:jc w:val="both"/>
        <w:rPr>
          <w:bCs/>
          <w:sz w:val="24"/>
          <w:szCs w:val="24"/>
          <w:lang w:val="ro-RO"/>
        </w:rPr>
      </w:pPr>
      <w:r w:rsidRPr="00296162">
        <w:rPr>
          <w:bCs/>
          <w:sz w:val="24"/>
          <w:szCs w:val="24"/>
          <w:lang w:val="ro-RO"/>
        </w:rPr>
        <w:t>Analiza corelativă a scopului și obiectivelor etapei 2025 (pp. 3–4) cu rezultatele prezentate (pp. 5–11) indică o atingere coerentă din punct de vedere științific, a finalităților asumate. Obiectivele legate de diagnosticarea stării fitosanitare a soiei și identificarea agenților fitopatogeni principali au fost realizate , fiind documentată izolarea și caracterizarea mai multor patogeni fungici relevanți (</w:t>
      </w:r>
      <w:r w:rsidRPr="00296162">
        <w:rPr>
          <w:bCs/>
          <w:i/>
          <w:sz w:val="24"/>
          <w:szCs w:val="24"/>
          <w:lang w:val="ro-RO"/>
        </w:rPr>
        <w:t>Fusarium</w:t>
      </w:r>
      <w:r w:rsidRPr="00296162">
        <w:rPr>
          <w:bCs/>
          <w:sz w:val="24"/>
          <w:szCs w:val="24"/>
          <w:lang w:val="ro-RO"/>
        </w:rPr>
        <w:t xml:space="preserve"> </w:t>
      </w:r>
      <w:r w:rsidRPr="00296162">
        <w:rPr>
          <w:bCs/>
          <w:i/>
          <w:sz w:val="24"/>
          <w:szCs w:val="24"/>
          <w:lang w:val="ro-RO"/>
        </w:rPr>
        <w:t>spp</w:t>
      </w:r>
      <w:r w:rsidRPr="00296162">
        <w:rPr>
          <w:bCs/>
          <w:sz w:val="24"/>
          <w:szCs w:val="24"/>
          <w:lang w:val="ro-RO"/>
        </w:rPr>
        <w:t xml:space="preserve">., </w:t>
      </w:r>
      <w:proofErr w:type="spellStart"/>
      <w:r w:rsidRPr="00296162">
        <w:rPr>
          <w:bCs/>
          <w:i/>
          <w:sz w:val="24"/>
          <w:szCs w:val="24"/>
          <w:lang w:val="ro-RO"/>
        </w:rPr>
        <w:t>Sclerotinia</w:t>
      </w:r>
      <w:proofErr w:type="spellEnd"/>
      <w:r w:rsidRPr="00296162">
        <w:rPr>
          <w:bCs/>
          <w:i/>
          <w:sz w:val="24"/>
          <w:szCs w:val="24"/>
          <w:lang w:val="ro-RO"/>
        </w:rPr>
        <w:t xml:space="preserve"> </w:t>
      </w:r>
      <w:proofErr w:type="spellStart"/>
      <w:r w:rsidRPr="00296162">
        <w:rPr>
          <w:bCs/>
          <w:i/>
          <w:sz w:val="24"/>
          <w:szCs w:val="24"/>
          <w:lang w:val="ro-RO"/>
        </w:rPr>
        <w:t>sclerotiorum</w:t>
      </w:r>
      <w:proofErr w:type="spellEnd"/>
      <w:r w:rsidRPr="00296162">
        <w:rPr>
          <w:bCs/>
          <w:i/>
          <w:sz w:val="24"/>
          <w:szCs w:val="24"/>
          <w:lang w:val="ro-RO"/>
        </w:rPr>
        <w:t xml:space="preserve">, </w:t>
      </w:r>
      <w:proofErr w:type="spellStart"/>
      <w:r w:rsidRPr="00296162">
        <w:rPr>
          <w:bCs/>
          <w:i/>
          <w:sz w:val="24"/>
          <w:szCs w:val="24"/>
          <w:lang w:val="ro-RO"/>
        </w:rPr>
        <w:t>Alternaria</w:t>
      </w:r>
      <w:proofErr w:type="spellEnd"/>
      <w:r w:rsidRPr="00296162">
        <w:rPr>
          <w:bCs/>
          <w:sz w:val="24"/>
          <w:szCs w:val="24"/>
          <w:lang w:val="ro-RO"/>
        </w:rPr>
        <w:t xml:space="preserve"> </w:t>
      </w:r>
      <w:r w:rsidRPr="00296162">
        <w:rPr>
          <w:bCs/>
          <w:i/>
          <w:sz w:val="24"/>
          <w:szCs w:val="24"/>
          <w:lang w:val="ro-RO"/>
        </w:rPr>
        <w:t>sp</w:t>
      </w:r>
      <w:r w:rsidRPr="00296162">
        <w:rPr>
          <w:bCs/>
          <w:sz w:val="24"/>
          <w:szCs w:val="24"/>
          <w:lang w:val="ro-RO"/>
        </w:rPr>
        <w:t xml:space="preserve">.). De asemenea, obiectivele privind determinarea particularităților biologice ale </w:t>
      </w:r>
      <w:proofErr w:type="spellStart"/>
      <w:r w:rsidRPr="00296162">
        <w:rPr>
          <w:bCs/>
          <w:i/>
          <w:sz w:val="24"/>
          <w:szCs w:val="24"/>
          <w:lang w:val="ro-RO"/>
        </w:rPr>
        <w:t>Bradyrhizobium</w:t>
      </w:r>
      <w:proofErr w:type="spellEnd"/>
      <w:r w:rsidRPr="00296162">
        <w:rPr>
          <w:bCs/>
          <w:i/>
          <w:sz w:val="24"/>
          <w:szCs w:val="24"/>
          <w:lang w:val="ro-RO"/>
        </w:rPr>
        <w:t xml:space="preserve"> </w:t>
      </w:r>
      <w:proofErr w:type="spellStart"/>
      <w:r w:rsidRPr="00296162">
        <w:rPr>
          <w:bCs/>
          <w:i/>
          <w:sz w:val="24"/>
          <w:szCs w:val="24"/>
          <w:lang w:val="ro-RO"/>
        </w:rPr>
        <w:t>japonicum</w:t>
      </w:r>
      <w:proofErr w:type="spellEnd"/>
      <w:r w:rsidRPr="00296162">
        <w:rPr>
          <w:bCs/>
          <w:sz w:val="24"/>
          <w:szCs w:val="24"/>
          <w:lang w:val="ro-RO"/>
        </w:rPr>
        <w:t xml:space="preserve"> și evidențierea relațiilor antagoniste cu microorganisme utile sunt susținute prin rezultate experimentale clare (testări </w:t>
      </w:r>
      <w:r w:rsidRPr="00296162">
        <w:rPr>
          <w:bCs/>
          <w:i/>
          <w:sz w:val="24"/>
          <w:szCs w:val="24"/>
          <w:lang w:val="ro-RO"/>
        </w:rPr>
        <w:t>in vitro</w:t>
      </w:r>
      <w:r w:rsidRPr="00296162">
        <w:rPr>
          <w:bCs/>
          <w:sz w:val="24"/>
          <w:szCs w:val="24"/>
          <w:lang w:val="ro-RO"/>
        </w:rPr>
        <w:t xml:space="preserve">, observații de câmp). </w:t>
      </w:r>
    </w:p>
    <w:p w:rsidR="00296162" w:rsidRDefault="00296162" w:rsidP="00296162">
      <w:pPr>
        <w:jc w:val="both"/>
        <w:rPr>
          <w:bCs/>
          <w:sz w:val="24"/>
          <w:szCs w:val="24"/>
          <w:lang w:val="ro-RO"/>
        </w:rPr>
      </w:pPr>
      <w:r w:rsidRPr="00296162">
        <w:rPr>
          <w:bCs/>
          <w:sz w:val="24"/>
          <w:szCs w:val="24"/>
          <w:lang w:val="ro-RO"/>
        </w:rPr>
        <w:t xml:space="preserve">Totuși, obiectivele ce vizează integrarea factorilor abiotici (inclusiv dioxid de siliciu amorf) și cuantificarea impactului lor asupra productivității nu sunt în nici un fel reflectate în compartimentul Rezultate, și apar doar in concluzii, la  nivel descriptiv, fără indicatori cantitativi comparativi suficient </w:t>
      </w:r>
      <w:r w:rsidRPr="00296162">
        <w:rPr>
          <w:bCs/>
          <w:sz w:val="24"/>
          <w:szCs w:val="24"/>
          <w:lang w:val="ro-RO"/>
        </w:rPr>
        <w:lastRenderedPageBreak/>
        <w:t>de consolidați. Per ansamblu, rezultatele validează direcția științifică a proiectului, și reclamă aprofundare experimentală pentru transpunerea deplină în soluții biotehnologice aplicabile</w:t>
      </w:r>
      <w:r>
        <w:rPr>
          <w:bCs/>
          <w:sz w:val="24"/>
          <w:szCs w:val="24"/>
          <w:lang w:val="ro-RO"/>
        </w:rPr>
        <w:t>.</w:t>
      </w:r>
    </w:p>
    <w:p w:rsidR="00296162" w:rsidRPr="00DC5773" w:rsidRDefault="00296162" w:rsidP="00296162">
      <w:pPr>
        <w:jc w:val="both"/>
        <w:rPr>
          <w:bCs/>
          <w:sz w:val="24"/>
          <w:szCs w:val="24"/>
          <w:lang w:val="ro-RO"/>
        </w:rPr>
      </w:pPr>
    </w:p>
    <w:p w:rsidR="00296162" w:rsidRPr="0010521A" w:rsidRDefault="00296162" w:rsidP="00296162">
      <w:pPr>
        <w:pStyle w:val="ListParagraph"/>
        <w:numPr>
          <w:ilvl w:val="0"/>
          <w:numId w:val="1"/>
        </w:numPr>
        <w:ind w:left="284" w:hanging="284"/>
        <w:jc w:val="both"/>
        <w:rPr>
          <w:bCs/>
          <w:sz w:val="24"/>
          <w:szCs w:val="24"/>
          <w:lang w:val="ro-RO"/>
        </w:rPr>
      </w:pPr>
      <w:r w:rsidRPr="007D7D25">
        <w:rPr>
          <w:bCs/>
          <w:i/>
          <w:iCs/>
          <w:sz w:val="24"/>
          <w:szCs w:val="24"/>
          <w:lang w:val="ro-RO"/>
        </w:rPr>
        <w:t>Diseminarea rezultatelor obținute</w:t>
      </w:r>
      <w:r w:rsidRPr="0074671B">
        <w:rPr>
          <w:bCs/>
          <w:sz w:val="24"/>
          <w:szCs w:val="24"/>
          <w:lang w:val="ro-RO"/>
        </w:rPr>
        <w:t xml:space="preserve"> </w:t>
      </w:r>
      <w:r>
        <w:rPr>
          <w:bCs/>
          <w:sz w:val="24"/>
          <w:szCs w:val="24"/>
          <w:lang w:val="ro-RO"/>
        </w:rPr>
        <w:t xml:space="preserve">- </w:t>
      </w:r>
      <w:bookmarkStart w:id="4" w:name="_Hlk91046624"/>
      <w:r w:rsidRPr="00416E8C">
        <w:rPr>
          <w:sz w:val="24"/>
          <w:szCs w:val="24"/>
          <w:lang w:val="ro-RO"/>
        </w:rPr>
        <w:t>“</w:t>
      </w:r>
      <w:r>
        <w:rPr>
          <w:sz w:val="24"/>
          <w:szCs w:val="24"/>
          <w:lang w:val="ro-RO"/>
        </w:rPr>
        <w:t>4,2</w:t>
      </w:r>
      <w:r>
        <w:rPr>
          <w:sz w:val="24"/>
          <w:szCs w:val="24"/>
          <w:lang w:val="ro-RO"/>
        </w:rPr>
        <w:t>5</w:t>
      </w:r>
      <w:r w:rsidRPr="00416E8C">
        <w:rPr>
          <w:sz w:val="24"/>
          <w:szCs w:val="24"/>
          <w:lang w:val="ro-RO"/>
        </w:rPr>
        <w:t>”</w:t>
      </w:r>
      <w:r>
        <w:rPr>
          <w:sz w:val="24"/>
          <w:szCs w:val="24"/>
          <w:lang w:val="ro-RO"/>
        </w:rPr>
        <w:t>.</w:t>
      </w:r>
      <w:bookmarkEnd w:id="4"/>
    </w:p>
    <w:p w:rsidR="00296162" w:rsidRPr="002E07C2" w:rsidRDefault="00296162" w:rsidP="00296162">
      <w:pPr>
        <w:pStyle w:val="ListParagraph"/>
        <w:ind w:left="284"/>
        <w:jc w:val="both"/>
        <w:rPr>
          <w:bCs/>
          <w:sz w:val="24"/>
          <w:szCs w:val="24"/>
          <w:lang w:val="ro-RO"/>
        </w:rPr>
      </w:pPr>
    </w:p>
    <w:p w:rsidR="00296162" w:rsidRDefault="00296162" w:rsidP="00296162">
      <w:pPr>
        <w:jc w:val="both"/>
        <w:rPr>
          <w:bCs/>
          <w:sz w:val="24"/>
          <w:szCs w:val="24"/>
          <w:lang w:val="ro-RO"/>
        </w:rPr>
      </w:pPr>
      <w:r w:rsidRPr="00296162">
        <w:rPr>
          <w:bCs/>
          <w:sz w:val="24"/>
          <w:szCs w:val="24"/>
          <w:lang w:val="ro-RO"/>
        </w:rPr>
        <w:t>Dintre publicațiile declarate în raport o teza este explicit atribuită acestui proiect, celelalte includ rezultate obținute în alte proiecte. Lista de publicații științifice include si un material (care nu are nimic în comun cu tema proiectului) pe un portal media, ceea ce este inacceptabil. Cu toate acestea, ținând cont de termenul scurt pentru care se raportează, este clar că nu a fost timp suficient pentru a se reuși publicarea rezultatelor în ediții consacrate. Afară de aceasta sunt în proces de elaborare două capitale într-o monografie,  ceea ce presupune un efort considerabil din partea membrilor echipei.</w:t>
      </w:r>
    </w:p>
    <w:p w:rsidR="00296162" w:rsidRDefault="00296162" w:rsidP="00296162">
      <w:pPr>
        <w:jc w:val="both"/>
        <w:rPr>
          <w:bCs/>
          <w:sz w:val="24"/>
          <w:szCs w:val="24"/>
          <w:lang w:val="ro-RO"/>
        </w:rPr>
      </w:pPr>
    </w:p>
    <w:p w:rsidR="00296162" w:rsidRPr="00CB6163" w:rsidRDefault="00296162" w:rsidP="00296162">
      <w:pPr>
        <w:jc w:val="both"/>
        <w:rPr>
          <w:bCs/>
          <w:sz w:val="24"/>
          <w:szCs w:val="24"/>
          <w:lang w:val="ro-RO"/>
        </w:rPr>
      </w:pPr>
    </w:p>
    <w:p w:rsidR="00296162" w:rsidRDefault="00296162" w:rsidP="00296162">
      <w:pPr>
        <w:pStyle w:val="ListParagraph"/>
        <w:numPr>
          <w:ilvl w:val="0"/>
          <w:numId w:val="1"/>
        </w:numPr>
        <w:ind w:left="426" w:hanging="426"/>
        <w:jc w:val="both"/>
        <w:rPr>
          <w:sz w:val="24"/>
          <w:szCs w:val="24"/>
          <w:lang w:val="ro-RO"/>
        </w:rPr>
      </w:pPr>
      <w:r w:rsidRPr="00A265A3">
        <w:rPr>
          <w:bCs/>
          <w:i/>
          <w:iCs/>
          <w:sz w:val="24"/>
          <w:szCs w:val="24"/>
          <w:lang w:val="ro-RO"/>
        </w:rPr>
        <w:t>Valoarea socio-economică a rezultatelor obținute, materializarea rezultatelor și perspective de implementare</w:t>
      </w:r>
      <w:r>
        <w:rPr>
          <w:bCs/>
          <w:sz w:val="24"/>
          <w:szCs w:val="24"/>
          <w:lang w:val="ro-RO"/>
        </w:rPr>
        <w:t xml:space="preserve"> - </w:t>
      </w:r>
      <w:r w:rsidRPr="00416E8C">
        <w:rPr>
          <w:sz w:val="24"/>
          <w:szCs w:val="24"/>
          <w:lang w:val="ro-RO"/>
        </w:rPr>
        <w:t>“</w:t>
      </w:r>
      <w:r>
        <w:rPr>
          <w:sz w:val="24"/>
          <w:szCs w:val="24"/>
          <w:lang w:val="ro-RO"/>
        </w:rPr>
        <w:t>5</w:t>
      </w:r>
      <w:r>
        <w:rPr>
          <w:sz w:val="24"/>
          <w:szCs w:val="24"/>
          <w:lang w:val="ro-RO"/>
        </w:rPr>
        <w:t>,0</w:t>
      </w:r>
      <w:r w:rsidRPr="00416E8C">
        <w:rPr>
          <w:sz w:val="24"/>
          <w:szCs w:val="24"/>
          <w:lang w:val="ro-RO"/>
        </w:rPr>
        <w:t>”</w:t>
      </w:r>
      <w:r>
        <w:rPr>
          <w:sz w:val="24"/>
          <w:szCs w:val="24"/>
          <w:lang w:val="ro-RO"/>
        </w:rPr>
        <w:t>.</w:t>
      </w:r>
    </w:p>
    <w:p w:rsidR="00296162" w:rsidRDefault="00296162" w:rsidP="00296162">
      <w:pPr>
        <w:pStyle w:val="ListParagraph"/>
        <w:ind w:left="426"/>
        <w:jc w:val="both"/>
        <w:rPr>
          <w:sz w:val="24"/>
          <w:szCs w:val="24"/>
          <w:lang w:val="ro-RO"/>
        </w:rPr>
      </w:pPr>
    </w:p>
    <w:p w:rsidR="00296162" w:rsidRPr="00296162" w:rsidRDefault="00296162" w:rsidP="00296162">
      <w:pPr>
        <w:jc w:val="both"/>
        <w:rPr>
          <w:sz w:val="24"/>
          <w:szCs w:val="24"/>
          <w:lang w:val="ro-RO"/>
        </w:rPr>
      </w:pPr>
      <w:r w:rsidRPr="00296162">
        <w:rPr>
          <w:sz w:val="24"/>
          <w:szCs w:val="24"/>
          <w:lang w:val="ro-RO"/>
        </w:rPr>
        <w:t>Raportarea valorii socio-economice trebuie analizată în contextul duratei foarte scurte a etapei 2025 (≈5 luni), specifică unei faze inițiale de cercetare. Afirmațiile privind reducerea presiunii pesticidelor, sporirea productivității și consolidarea agriculturii ecologice au un caracter anticipativ și strategic, fiind corect încadrate la nivel de potențial și nu de impact măsurabil. În intervalul raportat, nu era realistă obținerea validărilor economice sau a indicatorilor cantitativi de tip cost–beneficiu, adopție de către fermieri sau creștere demonstrată a veniturilor. Valoarea socio-economică real posibilă a rezultatelor constă în fundamentarea științifică a unor soluții biotehnologice cu aplicabilitate viitoare: identificarea agenților biologici utili, demonstrarea relațiilor antagoniste relevante și definirea direcțiilor de reducere a inputurilor chimice. Astfel, deși impactul socio-economic direct este inevitabil limitat la această etapă, rezultatele obținute au o valoare precompetitivă clară, esențială pentru transfer tehnologic și beneficii economice în etapele ulterioare ale proiectului</w:t>
      </w:r>
      <w:r w:rsidRPr="00296162">
        <w:rPr>
          <w:sz w:val="24"/>
          <w:szCs w:val="24"/>
          <w:lang w:val="ro-RO"/>
        </w:rPr>
        <w:t>.</w:t>
      </w:r>
    </w:p>
    <w:p w:rsidR="00296162" w:rsidRPr="00A265A3" w:rsidRDefault="00296162" w:rsidP="00296162">
      <w:pPr>
        <w:pStyle w:val="ListParagraph"/>
        <w:rPr>
          <w:b/>
          <w:sz w:val="24"/>
          <w:szCs w:val="24"/>
          <w:lang w:val="ro-RO"/>
        </w:rPr>
      </w:pPr>
    </w:p>
    <w:p w:rsidR="00296162" w:rsidRDefault="00296162" w:rsidP="00296162">
      <w:pPr>
        <w:pStyle w:val="ListParagraph"/>
        <w:numPr>
          <w:ilvl w:val="0"/>
          <w:numId w:val="1"/>
        </w:numPr>
        <w:ind w:left="426" w:hanging="426"/>
        <w:jc w:val="both"/>
        <w:rPr>
          <w:bCs/>
          <w:sz w:val="24"/>
          <w:szCs w:val="24"/>
          <w:lang w:val="ro-RO"/>
        </w:rPr>
      </w:pPr>
      <w:r w:rsidRPr="00D924A1">
        <w:rPr>
          <w:bCs/>
          <w:i/>
          <w:iCs/>
          <w:sz w:val="24"/>
          <w:szCs w:val="24"/>
          <w:lang w:val="ro-RO"/>
        </w:rPr>
        <w:t xml:space="preserve">Colaborarea națională/internațională în cadrul proiectului </w:t>
      </w:r>
      <w:r>
        <w:rPr>
          <w:bCs/>
          <w:sz w:val="24"/>
          <w:szCs w:val="24"/>
          <w:lang w:val="ro-RO"/>
        </w:rPr>
        <w:t xml:space="preserve">- </w:t>
      </w:r>
      <w:r w:rsidRPr="001D0562">
        <w:rPr>
          <w:bCs/>
          <w:sz w:val="24"/>
          <w:szCs w:val="24"/>
          <w:lang w:val="ro-RO"/>
        </w:rPr>
        <w:t>“</w:t>
      </w:r>
      <w:r>
        <w:rPr>
          <w:bCs/>
          <w:sz w:val="24"/>
          <w:szCs w:val="24"/>
          <w:lang w:val="ro-RO"/>
        </w:rPr>
        <w:t>5,0</w:t>
      </w:r>
      <w:r w:rsidRPr="001D0562">
        <w:rPr>
          <w:bCs/>
          <w:sz w:val="24"/>
          <w:szCs w:val="24"/>
          <w:lang w:val="ro-RO"/>
        </w:rPr>
        <w:t>”</w:t>
      </w:r>
      <w:r>
        <w:rPr>
          <w:bCs/>
          <w:sz w:val="24"/>
          <w:szCs w:val="24"/>
          <w:lang w:val="ro-RO"/>
        </w:rPr>
        <w:t>.</w:t>
      </w:r>
    </w:p>
    <w:p w:rsidR="00296162" w:rsidRDefault="00296162" w:rsidP="00296162">
      <w:pPr>
        <w:pStyle w:val="ListParagraph"/>
        <w:ind w:left="426"/>
        <w:jc w:val="both"/>
        <w:rPr>
          <w:bCs/>
          <w:sz w:val="24"/>
          <w:szCs w:val="24"/>
          <w:lang w:val="ro-RO"/>
        </w:rPr>
      </w:pPr>
    </w:p>
    <w:p w:rsidR="00296162" w:rsidRPr="00296162" w:rsidRDefault="00296162" w:rsidP="00296162">
      <w:pPr>
        <w:jc w:val="both"/>
        <w:rPr>
          <w:sz w:val="24"/>
          <w:szCs w:val="24"/>
          <w:lang w:val="ro-RO"/>
        </w:rPr>
      </w:pPr>
      <w:r w:rsidRPr="00296162">
        <w:rPr>
          <w:sz w:val="24"/>
          <w:szCs w:val="24"/>
          <w:lang w:val="ro-RO"/>
        </w:rPr>
        <w:t>Raportul demonstrează existența unei rețele funcționale de colaborări naționale și internaționale, relevante tematic pentru obiectivele proiectului, implicând instituții de cercetare și universități cu profil agricol, biologic și biotehnologic. Colaborările naționale susțin în mod adecvat activitățile experimentale, diagnostice și de formare, iar cele internaționale contribuie la validarea științifică, schimbul de expertiză și alinierea la tendințele actuale din domeniu</w:t>
      </w:r>
      <w:r w:rsidRPr="00296162">
        <w:rPr>
          <w:sz w:val="24"/>
          <w:szCs w:val="24"/>
          <w:lang w:val="ro-RO"/>
        </w:rPr>
        <w:t xml:space="preserve">. </w:t>
      </w:r>
    </w:p>
    <w:p w:rsidR="00296162" w:rsidRDefault="00296162" w:rsidP="00296162">
      <w:pPr>
        <w:jc w:val="both"/>
        <w:rPr>
          <w:bCs/>
          <w:sz w:val="24"/>
          <w:szCs w:val="24"/>
          <w:lang w:val="ro-RO"/>
        </w:rPr>
      </w:pPr>
    </w:p>
    <w:p w:rsidR="00296162" w:rsidRPr="0010521A" w:rsidRDefault="00296162" w:rsidP="00296162">
      <w:pPr>
        <w:jc w:val="both"/>
        <w:rPr>
          <w:bCs/>
          <w:sz w:val="24"/>
          <w:szCs w:val="24"/>
          <w:lang w:val="ro-RO"/>
        </w:rPr>
      </w:pPr>
      <w:r>
        <w:rPr>
          <w:bCs/>
          <w:sz w:val="24"/>
          <w:szCs w:val="24"/>
          <w:lang w:val="ro-RO"/>
        </w:rPr>
        <w:t>R</w:t>
      </w:r>
      <w:r w:rsidRPr="006356BC">
        <w:rPr>
          <w:bCs/>
          <w:sz w:val="24"/>
          <w:szCs w:val="24"/>
          <w:lang w:val="ro-RO"/>
        </w:rPr>
        <w:t>ecomandări</w:t>
      </w:r>
      <w:r>
        <w:rPr>
          <w:bCs/>
          <w:sz w:val="24"/>
          <w:szCs w:val="24"/>
          <w:lang w:val="ro-RO"/>
        </w:rPr>
        <w:t xml:space="preserve"> - </w:t>
      </w:r>
      <w:r w:rsidRPr="0010521A">
        <w:rPr>
          <w:b/>
          <w:sz w:val="24"/>
          <w:szCs w:val="24"/>
          <w:lang w:val="ro-RO"/>
        </w:rPr>
        <w:t>Se recomandă continuarea realizării proiectului.</w:t>
      </w:r>
    </w:p>
    <w:p w:rsidR="00296162" w:rsidRDefault="00296162" w:rsidP="00296162">
      <w:pPr>
        <w:jc w:val="center"/>
        <w:rPr>
          <w:bCs/>
          <w:sz w:val="24"/>
          <w:szCs w:val="24"/>
          <w:lang w:val="ro-RO"/>
        </w:rPr>
      </w:pPr>
    </w:p>
    <w:p w:rsidR="00296162" w:rsidRDefault="00296162" w:rsidP="00296162">
      <w:pPr>
        <w:autoSpaceDE w:val="0"/>
        <w:autoSpaceDN w:val="0"/>
        <w:adjustRightInd w:val="0"/>
        <w:jc w:val="center"/>
        <w:rPr>
          <w:rFonts w:eastAsia="Calibri"/>
          <w:b/>
          <w:bCs/>
          <w:sz w:val="21"/>
          <w:szCs w:val="21"/>
          <w:lang w:val="fr-FR" w:eastAsia="en-US"/>
        </w:rPr>
      </w:pPr>
    </w:p>
    <w:bookmarkEnd w:id="0"/>
    <w:p w:rsidR="00296162" w:rsidRPr="000C1066" w:rsidRDefault="00296162" w:rsidP="00296162">
      <w:pPr>
        <w:rPr>
          <w:sz w:val="24"/>
          <w:szCs w:val="24"/>
          <w:lang w:val="ro-RO"/>
        </w:rPr>
      </w:pPr>
      <w:r w:rsidRPr="000C1066">
        <w:rPr>
          <w:sz w:val="24"/>
          <w:szCs w:val="24"/>
          <w:lang w:val="ro-RO"/>
        </w:rPr>
        <w:t xml:space="preserve">Conducător al </w:t>
      </w:r>
    </w:p>
    <w:p w:rsidR="00296162" w:rsidRPr="000C1066" w:rsidRDefault="00296162" w:rsidP="00296162">
      <w:pPr>
        <w:rPr>
          <w:sz w:val="24"/>
          <w:szCs w:val="24"/>
          <w:lang w:val="ro-RO"/>
        </w:rPr>
      </w:pPr>
      <w:r w:rsidRPr="000C1066">
        <w:rPr>
          <w:sz w:val="24"/>
          <w:szCs w:val="24"/>
          <w:lang w:val="ro-RO"/>
        </w:rPr>
        <w:t xml:space="preserve">Secției Științe ale Vieții </w:t>
      </w:r>
    </w:p>
    <w:p w:rsidR="00296162" w:rsidRPr="000C1066" w:rsidRDefault="00296162" w:rsidP="00296162">
      <w:pPr>
        <w:rPr>
          <w:sz w:val="24"/>
          <w:szCs w:val="24"/>
          <w:lang w:val="ro-RO"/>
        </w:rPr>
      </w:pPr>
      <w:r w:rsidRPr="000C1066">
        <w:rPr>
          <w:sz w:val="24"/>
          <w:szCs w:val="24"/>
          <w:lang w:val="ro-RO"/>
        </w:rPr>
        <w:t>acad.</w:t>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Pr>
          <w:sz w:val="24"/>
          <w:szCs w:val="24"/>
          <w:lang w:val="ro-RO"/>
        </w:rPr>
        <w:t>Eva GUDUMAC</w:t>
      </w:r>
    </w:p>
    <w:p w:rsidR="00296162" w:rsidRPr="000C1066" w:rsidRDefault="00296162" w:rsidP="00296162">
      <w:pPr>
        <w:rPr>
          <w:b/>
          <w:sz w:val="24"/>
          <w:szCs w:val="24"/>
          <w:lang w:val="ro-RO"/>
        </w:rPr>
      </w:pPr>
    </w:p>
    <w:p w:rsidR="00296162" w:rsidRDefault="00296162" w:rsidP="00296162">
      <w:pPr>
        <w:rPr>
          <w:sz w:val="24"/>
          <w:szCs w:val="24"/>
          <w:lang w:val="ro-RO"/>
        </w:rPr>
      </w:pPr>
      <w:r>
        <w:rPr>
          <w:sz w:val="24"/>
          <w:szCs w:val="24"/>
          <w:lang w:val="ro-RO"/>
        </w:rPr>
        <w:t>Conducător adjunct al</w:t>
      </w:r>
    </w:p>
    <w:p w:rsidR="00296162" w:rsidRDefault="00296162" w:rsidP="00296162">
      <w:pPr>
        <w:rPr>
          <w:sz w:val="24"/>
          <w:szCs w:val="24"/>
          <w:lang w:val="ro-RO"/>
        </w:rPr>
      </w:pPr>
      <w:r>
        <w:rPr>
          <w:sz w:val="24"/>
          <w:szCs w:val="24"/>
          <w:lang w:val="ro-RO"/>
        </w:rPr>
        <w:t xml:space="preserve">Secției Științe ale Vieții </w:t>
      </w:r>
    </w:p>
    <w:p w:rsidR="00296162" w:rsidRDefault="00296162" w:rsidP="00296162">
      <w:pPr>
        <w:rPr>
          <w:sz w:val="24"/>
          <w:szCs w:val="24"/>
          <w:lang w:val="ro-MD"/>
        </w:rPr>
      </w:pPr>
      <w:r>
        <w:rPr>
          <w:sz w:val="24"/>
          <w:szCs w:val="24"/>
          <w:lang w:val="ro-RO"/>
        </w:rPr>
        <w:t>acad.                                                                                                               Ion TODERA</w:t>
      </w:r>
      <w:r>
        <w:rPr>
          <w:sz w:val="24"/>
          <w:szCs w:val="24"/>
          <w:lang w:val="ro-MD"/>
        </w:rPr>
        <w:t>Ș</w:t>
      </w:r>
    </w:p>
    <w:p w:rsidR="00296162" w:rsidRDefault="00296162" w:rsidP="00296162">
      <w:pPr>
        <w:rPr>
          <w:sz w:val="24"/>
          <w:szCs w:val="24"/>
          <w:lang w:val="ro-RO"/>
        </w:rPr>
      </w:pPr>
    </w:p>
    <w:p w:rsidR="00296162" w:rsidRPr="000C1066" w:rsidRDefault="00296162" w:rsidP="00296162">
      <w:pPr>
        <w:rPr>
          <w:color w:val="000000" w:themeColor="text1"/>
          <w:sz w:val="24"/>
          <w:szCs w:val="24"/>
          <w:lang w:val="ro-RO"/>
        </w:rPr>
      </w:pPr>
      <w:r w:rsidRPr="000C1066">
        <w:rPr>
          <w:sz w:val="24"/>
          <w:szCs w:val="24"/>
          <w:lang w:val="ro-RO"/>
        </w:rPr>
        <w:t xml:space="preserve">Secretar Științific al Secției </w:t>
      </w:r>
    </w:p>
    <w:p w:rsidR="00296162" w:rsidRDefault="00296162">
      <w:r w:rsidRPr="000C1066">
        <w:rPr>
          <w:color w:val="000000" w:themeColor="text1"/>
          <w:sz w:val="24"/>
          <w:szCs w:val="24"/>
          <w:lang w:val="ro-RO"/>
        </w:rPr>
        <w:t xml:space="preserve">Dr. </w:t>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t xml:space="preserve">Gabriela ROMANCIUC   </w:t>
      </w:r>
    </w:p>
    <w:sectPr w:rsidR="002961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62"/>
    <w:rsid w:val="0029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0FAB"/>
  <w15:chartTrackingRefBased/>
  <w15:docId w15:val="{C636617D-D9FF-4FCC-A115-32C04F48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162"/>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oetelu (bulletid),Referncias,1st level - Bullet List Paragraph,Lettre d'introduction,Paragrafo elenco,List Paragraph1,Medium Grid 1 - Accent 21,Normal bullet 2,Bullet list,Numbered List,Colorful List - Accent 11,Listenabsatz,Puces"/>
    <w:basedOn w:val="Normal"/>
    <w:link w:val="ListParagraphChar"/>
    <w:uiPriority w:val="34"/>
    <w:qFormat/>
    <w:rsid w:val="00296162"/>
    <w:pPr>
      <w:ind w:left="720"/>
      <w:contextualSpacing/>
    </w:pPr>
  </w:style>
  <w:style w:type="character" w:styleId="Hyperlink">
    <w:name w:val="Hyperlink"/>
    <w:basedOn w:val="DefaultParagraphFont"/>
    <w:uiPriority w:val="99"/>
    <w:unhideWhenUsed/>
    <w:rsid w:val="00296162"/>
    <w:rPr>
      <w:color w:val="0000FF"/>
      <w:u w:val="single"/>
    </w:rPr>
  </w:style>
  <w:style w:type="character" w:customStyle="1" w:styleId="ListParagraphChar">
    <w:name w:val="List Paragraph Char"/>
    <w:aliases w:val="Loetelu (bulletid) Char,Referncias Char,1st level - Bullet List Paragraph Char,Lettre d'introduction Char,Paragrafo elenco Char,List Paragraph1 Char,Medium Grid 1 - Accent 21 Char,Normal bullet 2 Char,Bullet list Char,Puces Char"/>
    <w:link w:val="ListParagraph"/>
    <w:uiPriority w:val="34"/>
    <w:qFormat/>
    <w:locked/>
    <w:rsid w:val="00296162"/>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1</cp:revision>
  <dcterms:created xsi:type="dcterms:W3CDTF">2025-12-22T09:35:00Z</dcterms:created>
  <dcterms:modified xsi:type="dcterms:W3CDTF">2025-12-22T09:45:00Z</dcterms:modified>
</cp:coreProperties>
</file>