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ru-RU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660A3A28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165EDBE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35446F42" w14:textId="21E4277F" w:rsidR="00562451" w:rsidRPr="00562451" w:rsidRDefault="00AF12D7" w:rsidP="00350F41">
      <w:pPr>
        <w:spacing w:line="288" w:lineRule="auto"/>
        <w:ind w:left="-102" w:right="-113"/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562451">
        <w:rPr>
          <w:b/>
          <w:lang w:val="ro-RO"/>
        </w:rPr>
        <w:t xml:space="preserve">raportului pe proiectul </w:t>
      </w:r>
      <w:r w:rsidR="00562451" w:rsidRPr="00562451">
        <w:rPr>
          <w:b/>
          <w:lang w:val="ro-MD"/>
        </w:rPr>
        <w:t>25.80012.5007.83SE</w:t>
      </w:r>
      <w:r w:rsidR="00562451" w:rsidRPr="00562451">
        <w:rPr>
          <w:b/>
          <w:lang w:val="ro-RO"/>
        </w:rPr>
        <w:t xml:space="preserve"> </w:t>
      </w:r>
      <w:r w:rsidRPr="00562451">
        <w:rPr>
          <w:b/>
          <w:lang w:val="ro-RO"/>
        </w:rPr>
        <w:t xml:space="preserve">din cadrul </w:t>
      </w:r>
      <w:bookmarkStart w:id="0" w:name="_Hlk91045286"/>
      <w:r w:rsidR="00EB678A" w:rsidRPr="00562451">
        <w:rPr>
          <w:b/>
          <w:lang w:val="ro-MD"/>
        </w:rPr>
        <w:t xml:space="preserve">concursului </w:t>
      </w:r>
      <w:r w:rsidR="00E777C1" w:rsidRPr="00562451">
        <w:rPr>
          <w:b/>
          <w:lang w:val="ro-MD"/>
        </w:rPr>
        <w:t xml:space="preserve">”Stimularea excelenței </w:t>
      </w:r>
      <w:r w:rsidR="002A26BE" w:rsidRPr="00562451">
        <w:rPr>
          <w:b/>
          <w:lang w:val="ro-MD"/>
        </w:rPr>
        <w:t>cercetărilor științifice 2025-2026</w:t>
      </w:r>
      <w:r w:rsidR="00E777C1" w:rsidRPr="00562451">
        <w:rPr>
          <w:b/>
          <w:lang w:val="ro-MD"/>
        </w:rPr>
        <w:t>”</w:t>
      </w:r>
      <w:r w:rsidR="00BE0CB7" w:rsidRPr="00562451">
        <w:rPr>
          <w:b/>
          <w:lang w:val="ro-RO"/>
        </w:rPr>
        <w:t xml:space="preserve">, </w:t>
      </w:r>
      <w:r w:rsidRPr="00562451">
        <w:rPr>
          <w:b/>
          <w:lang w:val="ro-RO"/>
        </w:rPr>
        <w:t xml:space="preserve">conducătorul proiectului – </w:t>
      </w:r>
      <w:r w:rsidR="00562451" w:rsidRPr="00562451">
        <w:rPr>
          <w:b/>
          <w:shd w:val="clear" w:color="auto" w:fill="FFFFFF"/>
          <w:lang w:val="ro-MD"/>
        </w:rPr>
        <w:t xml:space="preserve">dr. </w:t>
      </w:r>
      <w:proofErr w:type="spellStart"/>
      <w:r w:rsidR="00562451" w:rsidRPr="00562451">
        <w:rPr>
          <w:b/>
          <w:shd w:val="clear" w:color="auto" w:fill="FFFFFF"/>
          <w:lang w:val="ro-MD"/>
        </w:rPr>
        <w:t>hab</w:t>
      </w:r>
      <w:proofErr w:type="spellEnd"/>
      <w:r w:rsidR="00562451" w:rsidRPr="00562451">
        <w:rPr>
          <w:b/>
          <w:shd w:val="clear" w:color="auto" w:fill="FFFFFF"/>
          <w:lang w:val="ro-MD"/>
        </w:rPr>
        <w:t xml:space="preserve">., </w:t>
      </w:r>
      <w:proofErr w:type="spellStart"/>
      <w:r w:rsidR="00562451" w:rsidRPr="00562451">
        <w:rPr>
          <w:b/>
          <w:shd w:val="clear" w:color="auto" w:fill="FFFFFF"/>
          <w:lang w:val="ro-MD"/>
        </w:rPr>
        <w:t>m.c.</w:t>
      </w:r>
      <w:proofErr w:type="spellEnd"/>
      <w:r w:rsidR="00562451" w:rsidRPr="00562451">
        <w:rPr>
          <w:b/>
          <w:shd w:val="clear" w:color="auto" w:fill="FFFFFF"/>
          <w:lang w:val="ro-MD"/>
        </w:rPr>
        <w:t xml:space="preserve"> </w:t>
      </w:r>
      <w:r w:rsidR="00562451" w:rsidRPr="00562451">
        <w:rPr>
          <w:b/>
          <w:lang w:val="ro-MD"/>
        </w:rPr>
        <w:t>Vulpe</w:t>
      </w:r>
    </w:p>
    <w:p w14:paraId="20FC2095" w14:textId="1D6D0A26" w:rsidR="00AF12D7" w:rsidRPr="004C58EC" w:rsidRDefault="00562451" w:rsidP="00350F41">
      <w:pPr>
        <w:spacing w:line="288" w:lineRule="auto"/>
        <w:jc w:val="center"/>
        <w:rPr>
          <w:b/>
          <w:lang w:val="ro-MD"/>
        </w:rPr>
      </w:pPr>
      <w:r w:rsidRPr="00562451">
        <w:rPr>
          <w:b/>
          <w:lang w:val="ro-MD"/>
        </w:rPr>
        <w:t>Nicolae</w:t>
      </w:r>
      <w:r w:rsidR="00537088" w:rsidRPr="00562451">
        <w:rPr>
          <w:b/>
          <w:lang w:val="ro-RO"/>
        </w:rPr>
        <w:t xml:space="preserve">, </w:t>
      </w:r>
      <w:r w:rsidR="00763FB4" w:rsidRPr="00562451">
        <w:rPr>
          <w:b/>
          <w:shd w:val="clear" w:color="auto" w:fill="FFFFFF"/>
          <w:lang w:val="ro-MD"/>
        </w:rPr>
        <w:t xml:space="preserve">Institutul de Matematică și Informatică „Vladimir </w:t>
      </w:r>
      <w:proofErr w:type="spellStart"/>
      <w:r w:rsidR="00763FB4" w:rsidRPr="00562451">
        <w:rPr>
          <w:b/>
          <w:shd w:val="clear" w:color="auto" w:fill="FFFFFF"/>
          <w:lang w:val="ro-MD"/>
        </w:rPr>
        <w:t>Andrunachievici</w:t>
      </w:r>
      <w:proofErr w:type="spellEnd"/>
      <w:r w:rsidR="00763FB4" w:rsidRPr="00562451">
        <w:rPr>
          <w:b/>
          <w:shd w:val="clear" w:color="auto" w:fill="FFFFFF"/>
          <w:lang w:val="ro-MD"/>
        </w:rPr>
        <w:t xml:space="preserve">”, </w:t>
      </w:r>
      <w:r w:rsidR="00D5674A" w:rsidRPr="00562451">
        <w:rPr>
          <w:b/>
          <w:shd w:val="clear" w:color="auto" w:fill="FFFFFF"/>
          <w:lang w:val="ro-MD"/>
        </w:rPr>
        <w:t>USM</w:t>
      </w:r>
      <w:r w:rsidR="004C58EC" w:rsidRPr="00562451">
        <w:rPr>
          <w:b/>
          <w:shd w:val="clear" w:color="auto" w:fill="FFFFFF"/>
          <w:lang w:val="ro-MD"/>
        </w:rPr>
        <w:t xml:space="preserve"> </w:t>
      </w:r>
      <w:r w:rsidR="00AF12D7" w:rsidRPr="00562451">
        <w:rPr>
          <w:b/>
          <w:lang w:val="ro-RO"/>
        </w:rPr>
        <w:t>(</w:t>
      </w:r>
      <w:r w:rsidR="00E777C1" w:rsidRPr="00562451">
        <w:rPr>
          <w:b/>
          <w:lang w:val="ro-MD"/>
        </w:rPr>
        <w:t xml:space="preserve">Prioritatea V: Tehnologii </w:t>
      </w:r>
      <w:r w:rsidR="00E777C1" w:rsidRPr="00F24D65">
        <w:rPr>
          <w:b/>
          <w:lang w:val="ro-MD"/>
        </w:rPr>
        <w:t>inovative, energie sustenabilă, digitalizare</w:t>
      </w:r>
      <w:r w:rsidR="00EB678A" w:rsidRPr="00F24D65">
        <w:rPr>
          <w:b/>
          <w:lang w:val="ro-MD"/>
        </w:rPr>
        <w:t>)</w:t>
      </w:r>
      <w:r w:rsidR="00AF12D7"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="00AF12D7"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="00AF12D7"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350F41">
      <w:pPr>
        <w:shd w:val="clear" w:color="auto" w:fill="FFFFFF"/>
        <w:spacing w:line="288" w:lineRule="auto"/>
        <w:ind w:firstLine="567"/>
        <w:jc w:val="both"/>
        <w:rPr>
          <w:rFonts w:eastAsia="Calibri"/>
          <w:b/>
          <w:lang w:val="ro-RO" w:eastAsia="en-US"/>
        </w:rPr>
      </w:pPr>
    </w:p>
    <w:p w14:paraId="1662559E" w14:textId="35BB2F52" w:rsidR="004E11B8" w:rsidRPr="00562451" w:rsidRDefault="00186652" w:rsidP="00350F41">
      <w:pPr>
        <w:spacing w:line="276" w:lineRule="auto"/>
        <w:ind w:left="-102" w:right="-113"/>
        <w:jc w:val="center"/>
        <w:rPr>
          <w:lang w:val="ro-MD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562451" w:rsidRPr="00485A84">
        <w:rPr>
          <w:lang w:val="ro-MD"/>
        </w:rPr>
        <w:t xml:space="preserve">Studiul sistemelor diferențiale polinomiale pătratice cu elipse invariante: clasificare topologică și integrabilitatea </w:t>
      </w:r>
      <w:proofErr w:type="spellStart"/>
      <w:r w:rsidR="00562451" w:rsidRPr="00485A84">
        <w:rPr>
          <w:lang w:val="ro-MD"/>
        </w:rPr>
        <w:t>Liouville</w:t>
      </w:r>
      <w:proofErr w:type="spellEnd"/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562451">
        <w:rPr>
          <w:shd w:val="clear" w:color="auto" w:fill="FFFFFF"/>
          <w:lang w:val="ro-MD"/>
        </w:rPr>
        <w:t>d</w:t>
      </w:r>
      <w:r w:rsidR="00562451" w:rsidRPr="00485A84">
        <w:rPr>
          <w:shd w:val="clear" w:color="auto" w:fill="FFFFFF"/>
          <w:lang w:val="ro-MD"/>
        </w:rPr>
        <w:t xml:space="preserve">r. </w:t>
      </w:r>
      <w:proofErr w:type="spellStart"/>
      <w:r w:rsidR="00562451" w:rsidRPr="00485A84">
        <w:rPr>
          <w:shd w:val="clear" w:color="auto" w:fill="FFFFFF"/>
          <w:lang w:val="ro-MD"/>
        </w:rPr>
        <w:t>hab</w:t>
      </w:r>
      <w:proofErr w:type="spellEnd"/>
      <w:r w:rsidR="00562451" w:rsidRPr="00485A84">
        <w:rPr>
          <w:shd w:val="clear" w:color="auto" w:fill="FFFFFF"/>
          <w:lang w:val="ro-MD"/>
        </w:rPr>
        <w:t xml:space="preserve">., </w:t>
      </w:r>
      <w:proofErr w:type="spellStart"/>
      <w:r w:rsidR="00562451" w:rsidRPr="00485A84">
        <w:rPr>
          <w:shd w:val="clear" w:color="auto" w:fill="FFFFFF"/>
          <w:lang w:val="ro-MD"/>
        </w:rPr>
        <w:t>m.c.</w:t>
      </w:r>
      <w:proofErr w:type="spellEnd"/>
      <w:r w:rsidR="00562451" w:rsidRPr="00485A84">
        <w:rPr>
          <w:shd w:val="clear" w:color="auto" w:fill="FFFFFF"/>
          <w:lang w:val="ro-MD"/>
        </w:rPr>
        <w:t xml:space="preserve"> </w:t>
      </w:r>
      <w:r w:rsidR="00562451" w:rsidRPr="00485A84">
        <w:rPr>
          <w:lang w:val="ro-MD"/>
        </w:rPr>
        <w:t>Vulpe</w:t>
      </w:r>
      <w:r w:rsidR="00562451">
        <w:rPr>
          <w:lang w:val="ro-MD"/>
        </w:rPr>
        <w:t xml:space="preserve"> </w:t>
      </w:r>
      <w:r w:rsidR="00562451" w:rsidRPr="00485A84">
        <w:rPr>
          <w:lang w:val="ro-MD"/>
        </w:rPr>
        <w:t>Nicolae</w:t>
      </w:r>
    </w:p>
    <w:p w14:paraId="557B4C5D" w14:textId="77777777" w:rsidR="004E11B8" w:rsidRDefault="004E11B8" w:rsidP="00350F41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350F41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350F41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103A8777" w:rsidR="00186652" w:rsidRPr="00416E8C" w:rsidRDefault="00186652" w:rsidP="00350F41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897ABE">
        <w:rPr>
          <w:rFonts w:eastAsia="Calibri"/>
          <w:lang w:val="ro-RO" w:eastAsia="en-US"/>
        </w:rPr>
        <w:t xml:space="preserve"> </w:t>
      </w:r>
      <w:r w:rsidR="00897ABE" w:rsidRPr="00897ABE">
        <w:rPr>
          <w:rFonts w:eastAsia="Calibri"/>
          <w:b/>
          <w:lang w:val="ro-RO" w:eastAsia="en-US"/>
        </w:rPr>
        <w:t xml:space="preserve">foarte 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897ABE">
        <w:rPr>
          <w:rFonts w:eastAsia="Calibri"/>
          <w:lang w:val="ro-RO" w:eastAsia="en-US"/>
        </w:rPr>
        <w:t>7</w:t>
      </w:r>
      <w:r w:rsidR="0028394A">
        <w:rPr>
          <w:rFonts w:eastAsia="Calibri"/>
          <w:lang w:val="ro-RO" w:eastAsia="en-US"/>
        </w:rPr>
        <w:t>,</w:t>
      </w:r>
      <w:r w:rsidR="00897ABE">
        <w:rPr>
          <w:rFonts w:eastAsia="Calibri"/>
          <w:lang w:val="ro-RO" w:eastAsia="en-US"/>
        </w:rPr>
        <w:t>9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350F41">
      <w:pPr>
        <w:spacing w:line="276" w:lineRule="auto"/>
        <w:ind w:firstLine="567"/>
        <w:rPr>
          <w:lang w:val="ro-RO"/>
        </w:rPr>
      </w:pPr>
    </w:p>
    <w:p w14:paraId="314B722C" w14:textId="77777777" w:rsidR="00186652" w:rsidRPr="00416E8C" w:rsidRDefault="00186652" w:rsidP="00350F41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350F41">
      <w:pPr>
        <w:spacing w:line="276" w:lineRule="auto"/>
        <w:jc w:val="both"/>
        <w:rPr>
          <w:b/>
          <w:lang w:val="ro-RO"/>
        </w:rPr>
      </w:pPr>
    </w:p>
    <w:p w14:paraId="5476FB23" w14:textId="77777777" w:rsidR="00FC2BFD" w:rsidRDefault="00FC2BFD" w:rsidP="00350F41">
      <w:pPr>
        <w:pStyle w:val="ListParagraph"/>
        <w:numPr>
          <w:ilvl w:val="0"/>
          <w:numId w:val="28"/>
        </w:numPr>
        <w:spacing w:line="276" w:lineRule="auto"/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Atingerea scopului și obiectivelor, exprimate prin rezultatele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“foarte bine”.</w:t>
      </w:r>
    </w:p>
    <w:p w14:paraId="3D3013E6" w14:textId="6BC6813D" w:rsidR="00897ABE" w:rsidRPr="00897ABE" w:rsidRDefault="00897ABE" w:rsidP="00350F41">
      <w:pPr>
        <w:pStyle w:val="ListParagraph"/>
        <w:numPr>
          <w:ilvl w:val="0"/>
          <w:numId w:val="29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</w:t>
      </w:r>
      <w:r w:rsidR="00494719">
        <w:rPr>
          <w:bCs/>
          <w:lang w:val="ro-RO"/>
        </w:rPr>
        <w:t xml:space="preserve"> </w:t>
      </w:r>
      <w:r>
        <w:rPr>
          <w:bCs/>
          <w:lang w:val="ro-RO"/>
        </w:rPr>
        <w:t>fost determinat</w:t>
      </w:r>
      <w:r w:rsidR="00494719">
        <w:rPr>
          <w:bCs/>
          <w:lang w:val="ro-RO"/>
        </w:rPr>
        <w:t>ă</w:t>
      </w:r>
      <w:r>
        <w:rPr>
          <w:bCs/>
          <w:lang w:val="ro-RO"/>
        </w:rPr>
        <w:t xml:space="preserve"> </w:t>
      </w:r>
      <w:r w:rsidRPr="00897ABE">
        <w:rPr>
          <w:bCs/>
          <w:lang w:val="ro-RO"/>
        </w:rPr>
        <w:t>f</w:t>
      </w:r>
      <w:r>
        <w:rPr>
          <w:bCs/>
          <w:lang w:val="ro-RO"/>
        </w:rPr>
        <w:t>amilia</w:t>
      </w:r>
      <w:r w:rsidRPr="00897ABE">
        <w:rPr>
          <w:bCs/>
          <w:lang w:val="ro-RO"/>
        </w:rPr>
        <w:t xml:space="preserve"> de sisteme diferențiale pătratice care are conice </w:t>
      </w:r>
      <w:r>
        <w:rPr>
          <w:bCs/>
          <w:lang w:val="ro-RO"/>
        </w:rPr>
        <w:t xml:space="preserve">invariante sub formă de elipse și </w:t>
      </w:r>
      <w:r w:rsidR="00494719">
        <w:rPr>
          <w:bCs/>
          <w:lang w:val="ro-RO"/>
        </w:rPr>
        <w:t xml:space="preserve">s-au </w:t>
      </w:r>
      <w:r w:rsidRPr="00897ABE">
        <w:rPr>
          <w:bCs/>
          <w:lang w:val="ro-RO"/>
        </w:rPr>
        <w:t>identificat formelor canonice a</w:t>
      </w:r>
      <w:r w:rsidR="00494719">
        <w:rPr>
          <w:bCs/>
          <w:lang w:val="ro-RO"/>
        </w:rPr>
        <w:t>le</w:t>
      </w:r>
      <w:r w:rsidRPr="00897ABE">
        <w:rPr>
          <w:bCs/>
          <w:lang w:val="ro-RO"/>
        </w:rPr>
        <w:t xml:space="preserve"> acestor sisteme cu elipse invariante; </w:t>
      </w:r>
    </w:p>
    <w:p w14:paraId="31F3A53D" w14:textId="6961A1AE" w:rsidR="00FC2BFD" w:rsidRPr="00350F41" w:rsidRDefault="00897ABE" w:rsidP="00350F41">
      <w:pPr>
        <w:pStyle w:val="ListParagraph"/>
        <w:numPr>
          <w:ilvl w:val="0"/>
          <w:numId w:val="29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Au fost obținute configurații</w:t>
      </w:r>
      <w:r w:rsidRPr="00897ABE">
        <w:rPr>
          <w:bCs/>
          <w:lang w:val="ro-RO"/>
        </w:rPr>
        <w:t xml:space="preserve"> topologice globale de singularități (finite și la infinit) posibile pentru un sistem pătratic; </w:t>
      </w:r>
      <w:r w:rsidR="005A67C6">
        <w:rPr>
          <w:bCs/>
          <w:lang w:val="ro-RO"/>
        </w:rPr>
        <w:t xml:space="preserve"> a fost </w:t>
      </w:r>
      <w:r w:rsidRPr="00897ABE">
        <w:rPr>
          <w:bCs/>
          <w:lang w:val="ro-RO"/>
        </w:rPr>
        <w:t>găsi</w:t>
      </w:r>
      <w:r w:rsidR="005A67C6">
        <w:rPr>
          <w:bCs/>
          <w:lang w:val="ro-RO"/>
        </w:rPr>
        <w:t>tă</w:t>
      </w:r>
      <w:r w:rsidRPr="00897ABE">
        <w:rPr>
          <w:bCs/>
          <w:lang w:val="ro-RO"/>
        </w:rPr>
        <w:t xml:space="preserve"> </w:t>
      </w:r>
      <w:r w:rsidR="005A67C6">
        <w:rPr>
          <w:bCs/>
          <w:lang w:val="ro-RO"/>
        </w:rPr>
        <w:t>o</w:t>
      </w:r>
      <w:r w:rsidRPr="00897ABE">
        <w:rPr>
          <w:bCs/>
          <w:lang w:val="ro-RO"/>
        </w:rPr>
        <w:t xml:space="preserve"> subfamili</w:t>
      </w:r>
      <w:r w:rsidR="005A67C6">
        <w:rPr>
          <w:bCs/>
          <w:lang w:val="ro-RO"/>
        </w:rPr>
        <w:t>e</w:t>
      </w:r>
      <w:r w:rsidRPr="00897ABE">
        <w:rPr>
          <w:bCs/>
          <w:lang w:val="ro-RO"/>
        </w:rPr>
        <w:t xml:space="preserve"> de sisteme ce posedă pe lângă elipse și o parabolă invariantă.  </w:t>
      </w:r>
    </w:p>
    <w:p w14:paraId="6B16D67F" w14:textId="77777777" w:rsidR="00FC2BFD" w:rsidRDefault="00FC2BFD" w:rsidP="00350F41">
      <w:pPr>
        <w:pStyle w:val="ListParagraph"/>
        <w:spacing w:line="276" w:lineRule="auto"/>
        <w:ind w:left="644"/>
        <w:contextualSpacing w:val="0"/>
        <w:jc w:val="both"/>
        <w:rPr>
          <w:bCs/>
          <w:lang w:val="ro-RO"/>
        </w:rPr>
      </w:pPr>
    </w:p>
    <w:p w14:paraId="662FAEF6" w14:textId="77777777" w:rsidR="00FC2BFD" w:rsidRDefault="00FC2BFD" w:rsidP="00350F41">
      <w:pPr>
        <w:pStyle w:val="ListParagraph"/>
        <w:numPr>
          <w:ilvl w:val="0"/>
          <w:numId w:val="28"/>
        </w:numPr>
        <w:spacing w:line="276" w:lineRule="auto"/>
        <w:ind w:left="284" w:hanging="284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>Diseminarea rezultatelor obținute</w:t>
      </w:r>
      <w:r>
        <w:rPr>
          <w:bCs/>
          <w:lang w:val="ro-RO"/>
        </w:rPr>
        <w:t xml:space="preserve"> - </w:t>
      </w:r>
      <w:bookmarkStart w:id="1" w:name="_Hlk91046624"/>
      <w:r>
        <w:rPr>
          <w:lang w:val="ro-RO"/>
        </w:rPr>
        <w:t>“bine”.</w:t>
      </w:r>
      <w:bookmarkEnd w:id="1"/>
    </w:p>
    <w:p w14:paraId="737F40E8" w14:textId="77777777" w:rsidR="00897ABE" w:rsidRDefault="00897ABE" w:rsidP="00350F41">
      <w:pPr>
        <w:pStyle w:val="ListParagraph"/>
        <w:numPr>
          <w:ilvl w:val="0"/>
          <w:numId w:val="29"/>
        </w:numPr>
        <w:spacing w:line="276" w:lineRule="auto"/>
        <w:contextualSpacing w:val="0"/>
        <w:jc w:val="both"/>
        <w:rPr>
          <w:bCs/>
          <w:lang w:val="ro-RO"/>
        </w:rPr>
      </w:pPr>
      <w:r w:rsidRPr="00897ABE">
        <w:rPr>
          <w:bCs/>
          <w:lang w:val="ro-RO"/>
        </w:rPr>
        <w:t>A fo</w:t>
      </w:r>
      <w:r>
        <w:rPr>
          <w:bCs/>
          <w:lang w:val="ro-RO"/>
        </w:rPr>
        <w:t>st publicat un preprint (26 pagini</w:t>
      </w:r>
      <w:r w:rsidRPr="00897ABE">
        <w:rPr>
          <w:bCs/>
          <w:lang w:val="ro-RO"/>
        </w:rPr>
        <w:t xml:space="preserve">) la Departamentul de Matematică al Universității Autonome din </w:t>
      </w:r>
      <w:proofErr w:type="spellStart"/>
      <w:r w:rsidRPr="00897ABE">
        <w:rPr>
          <w:bCs/>
          <w:lang w:val="ro-RO"/>
        </w:rPr>
        <w:t>Bareslona</w:t>
      </w:r>
      <w:proofErr w:type="spellEnd"/>
      <w:r w:rsidRPr="00897ABE">
        <w:rPr>
          <w:bCs/>
          <w:lang w:val="ro-RO"/>
        </w:rPr>
        <w:t xml:space="preserve"> (UAB) și un articol este pregătit pentru publicare în colaborare cu specialiști din Spania și Canada. </w:t>
      </w:r>
    </w:p>
    <w:p w14:paraId="1EE0542B" w14:textId="5C8BCA1F" w:rsidR="00FC2BFD" w:rsidRPr="00350F41" w:rsidRDefault="00897ABE" w:rsidP="00350F41">
      <w:pPr>
        <w:pStyle w:val="ListParagraph"/>
        <w:numPr>
          <w:ilvl w:val="0"/>
          <w:numId w:val="29"/>
        </w:numPr>
        <w:spacing w:line="276" w:lineRule="auto"/>
        <w:contextualSpacing w:val="0"/>
        <w:jc w:val="both"/>
        <w:rPr>
          <w:bCs/>
          <w:lang w:val="ro-RO"/>
        </w:rPr>
      </w:pPr>
      <w:r w:rsidRPr="00897ABE">
        <w:rPr>
          <w:bCs/>
          <w:lang w:val="ro-RO"/>
        </w:rPr>
        <w:t xml:space="preserve">A fost </w:t>
      </w:r>
      <w:r w:rsidR="00B17568">
        <w:rPr>
          <w:bCs/>
          <w:lang w:val="ro-RO"/>
        </w:rPr>
        <w:t>prezentată</w:t>
      </w:r>
      <w:r w:rsidRPr="00897ABE">
        <w:rPr>
          <w:bCs/>
          <w:lang w:val="ro-RO"/>
        </w:rPr>
        <w:t xml:space="preserve"> o comunicare la conferinț</w:t>
      </w:r>
      <w:r w:rsidR="00B17568">
        <w:rPr>
          <w:bCs/>
          <w:lang w:val="ro-RO"/>
        </w:rPr>
        <w:t>a</w:t>
      </w:r>
      <w:r w:rsidRPr="00897ABE">
        <w:rPr>
          <w:bCs/>
          <w:lang w:val="ro-RO"/>
        </w:rPr>
        <w:t xml:space="preserve"> științifică internațională CAIM 2025 (România) cu publicarea rezumatului și un referat la seminarul științific al Departamentului de Matematică, UAB.</w:t>
      </w:r>
    </w:p>
    <w:p w14:paraId="1F09BDEE" w14:textId="2CAEFA2A" w:rsidR="00FC2BFD" w:rsidRDefault="00FC2BFD" w:rsidP="00FC2BFD">
      <w:pPr>
        <w:pStyle w:val="ListParagraph"/>
        <w:numPr>
          <w:ilvl w:val="0"/>
          <w:numId w:val="28"/>
        </w:numPr>
        <w:ind w:left="426" w:hanging="426"/>
        <w:jc w:val="both"/>
        <w:rPr>
          <w:lang w:val="ro-RO"/>
        </w:rPr>
      </w:pPr>
      <w:r>
        <w:rPr>
          <w:bCs/>
          <w:i/>
          <w:iCs/>
          <w:lang w:val="ro-RO"/>
        </w:rPr>
        <w:lastRenderedPageBreak/>
        <w:t xml:space="preserve">Valoarea </w:t>
      </w:r>
      <w:proofErr w:type="spellStart"/>
      <w:r>
        <w:rPr>
          <w:bCs/>
          <w:i/>
          <w:iCs/>
          <w:lang w:val="ro-RO"/>
        </w:rPr>
        <w:t>socio</w:t>
      </w:r>
      <w:proofErr w:type="spellEnd"/>
      <w:r>
        <w:rPr>
          <w:bCs/>
          <w:i/>
          <w:iCs/>
          <w:lang w:val="ro-RO"/>
        </w:rPr>
        <w:t xml:space="preserve">-economică a rezultatelor obținute </w:t>
      </w:r>
      <w:r>
        <w:rPr>
          <w:bCs/>
          <w:lang w:val="ro-RO"/>
        </w:rPr>
        <w:t xml:space="preserve">- </w:t>
      </w:r>
      <w:r>
        <w:rPr>
          <w:lang w:val="ro-RO"/>
        </w:rPr>
        <w:t>“</w:t>
      </w:r>
      <w:r w:rsidR="00897ABE">
        <w:rPr>
          <w:lang w:val="ro-RO"/>
        </w:rPr>
        <w:t>bine</w:t>
      </w:r>
      <w:r>
        <w:rPr>
          <w:lang w:val="ro-RO"/>
        </w:rPr>
        <w:t>”.</w:t>
      </w:r>
    </w:p>
    <w:p w14:paraId="53C811CD" w14:textId="6793A0E1" w:rsidR="00FC2BFD" w:rsidRDefault="00897ABE" w:rsidP="00897ABE">
      <w:pPr>
        <w:pStyle w:val="ListParagraph"/>
        <w:numPr>
          <w:ilvl w:val="0"/>
          <w:numId w:val="29"/>
        </w:numPr>
        <w:spacing w:line="276" w:lineRule="auto"/>
        <w:jc w:val="both"/>
        <w:rPr>
          <w:lang w:val="ro-RO"/>
        </w:rPr>
      </w:pPr>
      <w:r w:rsidRPr="00897ABE">
        <w:rPr>
          <w:lang w:val="ro-RO"/>
        </w:rPr>
        <w:t>Rezultatele obținute au caracter teoretic și pot fi aplicate: în teoria sistemelor dinamice pentru identificarea și clasificarea unor noi tipuri de sisteme diferențiale pătratice care au soluții algebrice și sunt integrabile; în domeniile ecuațiilor diferențiale și geometriei algebrice. Rezultatele pot fi utile la elaborarea cursurilor opționale; la elaborarea temelor tezelor de master și doctorat.</w:t>
      </w:r>
    </w:p>
    <w:p w14:paraId="3D5FC41C" w14:textId="77777777" w:rsidR="00FC2BFD" w:rsidRDefault="00FC2BFD" w:rsidP="00B17568">
      <w:pPr>
        <w:pStyle w:val="ListParagraph"/>
        <w:spacing w:line="288" w:lineRule="auto"/>
        <w:ind w:left="644"/>
        <w:contextualSpacing w:val="0"/>
        <w:rPr>
          <w:lang w:val="ro-RO"/>
        </w:rPr>
      </w:pPr>
    </w:p>
    <w:p w14:paraId="1DF32976" w14:textId="77777777" w:rsidR="00FC2BFD" w:rsidRDefault="00FC2BFD" w:rsidP="00B17568">
      <w:pPr>
        <w:pStyle w:val="ListParagraph"/>
        <w:numPr>
          <w:ilvl w:val="0"/>
          <w:numId w:val="28"/>
        </w:numPr>
        <w:spacing w:line="288" w:lineRule="auto"/>
        <w:ind w:left="426" w:hanging="426"/>
        <w:contextualSpacing w:val="0"/>
        <w:jc w:val="both"/>
        <w:rPr>
          <w:bCs/>
          <w:lang w:val="ro-RO"/>
        </w:rPr>
      </w:pPr>
      <w:r>
        <w:rPr>
          <w:bCs/>
          <w:i/>
          <w:iCs/>
          <w:lang w:val="ro-RO"/>
        </w:rPr>
        <w:t xml:space="preserve">Colaborarea la nivel internațional și național </w:t>
      </w:r>
      <w:r>
        <w:rPr>
          <w:bCs/>
          <w:lang w:val="ro-RO"/>
        </w:rPr>
        <w:t>- ”foarte bine”.</w:t>
      </w:r>
    </w:p>
    <w:p w14:paraId="148A4BB1" w14:textId="3746541B" w:rsidR="00FC2BFD" w:rsidRDefault="00FC2BFD" w:rsidP="00B17568">
      <w:pPr>
        <w:pStyle w:val="ListParagraph"/>
        <w:numPr>
          <w:ilvl w:val="0"/>
          <w:numId w:val="29"/>
        </w:numPr>
        <w:spacing w:line="288" w:lineRule="auto"/>
        <w:contextualSpacing w:val="0"/>
        <w:jc w:val="both"/>
        <w:rPr>
          <w:lang w:val="ro-RO"/>
        </w:rPr>
      </w:pPr>
      <w:r>
        <w:rPr>
          <w:lang w:val="ro-RO"/>
        </w:rPr>
        <w:t>A fost demonstr</w:t>
      </w:r>
      <w:r w:rsidR="00897ABE">
        <w:rPr>
          <w:lang w:val="ro-RO"/>
        </w:rPr>
        <w:t xml:space="preserve">ată colaborarea cu o echipă de savanți </w:t>
      </w:r>
      <w:r w:rsidR="00897ABE" w:rsidRPr="00897ABE">
        <w:rPr>
          <w:lang w:val="ro-RO"/>
        </w:rPr>
        <w:t xml:space="preserve">din Spania (J. </w:t>
      </w:r>
      <w:proofErr w:type="spellStart"/>
      <w:r w:rsidR="00897ABE" w:rsidRPr="00897ABE">
        <w:rPr>
          <w:lang w:val="ro-RO"/>
        </w:rPr>
        <w:t>Llibre</w:t>
      </w:r>
      <w:proofErr w:type="spellEnd"/>
      <w:r w:rsidR="00897ABE" w:rsidRPr="00897ABE">
        <w:rPr>
          <w:lang w:val="ro-RO"/>
        </w:rPr>
        <w:t xml:space="preserve">, J. </w:t>
      </w:r>
      <w:proofErr w:type="spellStart"/>
      <w:r w:rsidR="00897ABE" w:rsidRPr="00897ABE">
        <w:rPr>
          <w:lang w:val="ro-RO"/>
        </w:rPr>
        <w:t>Artes</w:t>
      </w:r>
      <w:proofErr w:type="spellEnd"/>
      <w:r w:rsidR="00897ABE" w:rsidRPr="00897ABE">
        <w:rPr>
          <w:lang w:val="ro-RO"/>
        </w:rPr>
        <w:t xml:space="preserve">, UAB) și Canada (D. </w:t>
      </w:r>
      <w:proofErr w:type="spellStart"/>
      <w:r w:rsidR="00897ABE" w:rsidRPr="00897ABE">
        <w:rPr>
          <w:lang w:val="ro-RO"/>
        </w:rPr>
        <w:t>Schlomiuk</w:t>
      </w:r>
      <w:proofErr w:type="spellEnd"/>
      <w:r w:rsidR="00897ABE" w:rsidRPr="00897ABE">
        <w:rPr>
          <w:lang w:val="ro-RO"/>
        </w:rPr>
        <w:t>, Universitatea din Montreal), cu care  membrii echipei de proiect au consolidat un parteneriat de cercetare având mai multe publicații comune.</w:t>
      </w:r>
    </w:p>
    <w:p w14:paraId="20156322" w14:textId="77777777" w:rsidR="00897ABE" w:rsidRDefault="00897ABE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17A4BC50" w14:textId="77777777" w:rsidR="006024D5" w:rsidRDefault="006024D5" w:rsidP="00022581">
      <w:pPr>
        <w:rPr>
          <w:b/>
          <w:lang w:val="ro-RO"/>
        </w:rPr>
      </w:pPr>
    </w:p>
    <w:p w14:paraId="25D90070" w14:textId="77777777" w:rsidR="00580AB9" w:rsidRDefault="00580AB9" w:rsidP="00022581">
      <w:pPr>
        <w:rPr>
          <w:b/>
          <w:lang w:val="ro-RO"/>
        </w:rPr>
      </w:pPr>
    </w:p>
    <w:p w14:paraId="10F28515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</w:t>
      </w:r>
    </w:p>
    <w:p w14:paraId="42E8398A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1F444D6" w14:textId="7D513E59" w:rsidR="00022581" w:rsidRPr="00F81B82" w:rsidRDefault="00D5298E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2544AFE6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71CD9E7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22A3" w14:textId="77777777" w:rsidR="009220D8" w:rsidRDefault="009220D8" w:rsidP="00014779">
      <w:r>
        <w:separator/>
      </w:r>
    </w:p>
  </w:endnote>
  <w:endnote w:type="continuationSeparator" w:id="0">
    <w:p w14:paraId="4F3B0876" w14:textId="77777777" w:rsidR="009220D8" w:rsidRDefault="009220D8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A37B0" w14:textId="77777777" w:rsidR="009220D8" w:rsidRDefault="009220D8" w:rsidP="00014779">
      <w:r>
        <w:separator/>
      </w:r>
    </w:p>
  </w:footnote>
  <w:footnote w:type="continuationSeparator" w:id="0">
    <w:p w14:paraId="2214ED87" w14:textId="77777777" w:rsidR="009220D8" w:rsidRDefault="009220D8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3EA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46B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0C0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24F9"/>
    <w:rsid w:val="0028394A"/>
    <w:rsid w:val="002844D7"/>
    <w:rsid w:val="0029347D"/>
    <w:rsid w:val="002A0910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6000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50F41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239A4"/>
    <w:rsid w:val="00431564"/>
    <w:rsid w:val="004327C7"/>
    <w:rsid w:val="004368CC"/>
    <w:rsid w:val="00442645"/>
    <w:rsid w:val="00451CCA"/>
    <w:rsid w:val="00452FB8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719"/>
    <w:rsid w:val="00494D74"/>
    <w:rsid w:val="0049726D"/>
    <w:rsid w:val="004974FD"/>
    <w:rsid w:val="004A0ED7"/>
    <w:rsid w:val="004B43A8"/>
    <w:rsid w:val="004C1A7D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2451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7C6"/>
    <w:rsid w:val="005A6ADD"/>
    <w:rsid w:val="005A7AC3"/>
    <w:rsid w:val="005B0047"/>
    <w:rsid w:val="005B0A1D"/>
    <w:rsid w:val="005B1EDE"/>
    <w:rsid w:val="005B546E"/>
    <w:rsid w:val="005B6184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5F5C35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375F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4012"/>
    <w:rsid w:val="00750A16"/>
    <w:rsid w:val="00763196"/>
    <w:rsid w:val="00763FB4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97ABE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20D8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0EC3"/>
    <w:rsid w:val="009821BE"/>
    <w:rsid w:val="00983CC4"/>
    <w:rsid w:val="00984836"/>
    <w:rsid w:val="00985095"/>
    <w:rsid w:val="009925A9"/>
    <w:rsid w:val="00992BE2"/>
    <w:rsid w:val="00996B15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B1689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17568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E4419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192E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064BF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298E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8C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B49EF"/>
    <w:rsid w:val="00FC2BFD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User</cp:lastModifiedBy>
  <cp:revision>26</cp:revision>
  <cp:lastPrinted>2022-12-05T10:45:00Z</cp:lastPrinted>
  <dcterms:created xsi:type="dcterms:W3CDTF">2025-12-14T23:32:00Z</dcterms:created>
  <dcterms:modified xsi:type="dcterms:W3CDTF">2025-12-27T11:56:00Z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