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FA7A63">
      <w:pPr>
        <w:spacing w:line="160" w:lineRule="exact"/>
        <w:rPr>
          <w:sz w:val="26"/>
          <w:szCs w:val="26"/>
          <w:lang w:val="ro-RO"/>
        </w:rPr>
      </w:pPr>
    </w:p>
    <w:p w14:paraId="20FC2095" w14:textId="349976DE" w:rsidR="00AF12D7" w:rsidRPr="000B46A7" w:rsidRDefault="00AF12D7" w:rsidP="004C58EC">
      <w:pPr>
        <w:jc w:val="center"/>
        <w:rPr>
          <w:b/>
          <w:lang w:val="ro-RO"/>
        </w:rPr>
      </w:pPr>
      <w:r w:rsidRPr="000B46A7">
        <w:rPr>
          <w:b/>
          <w:lang w:val="ro-RO"/>
        </w:rPr>
        <w:t xml:space="preserve">asupra raportului pe proiectul </w:t>
      </w:r>
      <w:r w:rsidR="00521672" w:rsidRPr="000B46A7">
        <w:rPr>
          <w:b/>
          <w:lang w:val="ro-RO"/>
        </w:rPr>
        <w:t xml:space="preserve">25.80013.5007.56ROMD </w:t>
      </w:r>
      <w:r w:rsidRPr="000B46A7">
        <w:rPr>
          <w:b/>
          <w:lang w:val="ro-RO"/>
        </w:rPr>
        <w:t xml:space="preserve">din cadrul </w:t>
      </w:r>
      <w:bookmarkStart w:id="0" w:name="_Hlk91045286"/>
      <w:r w:rsidR="00EB678A" w:rsidRPr="000B46A7">
        <w:rPr>
          <w:b/>
          <w:lang w:val="ro-RO"/>
        </w:rPr>
        <w:t xml:space="preserve">concursului </w:t>
      </w:r>
      <w:r w:rsidR="00E777C1" w:rsidRPr="000B46A7">
        <w:rPr>
          <w:b/>
          <w:lang w:val="ro-RO"/>
        </w:rPr>
        <w:t>”</w:t>
      </w:r>
      <w:r w:rsidR="00353CA3" w:rsidRPr="000B46A7">
        <w:rPr>
          <w:b/>
          <w:lang w:val="ro-RO"/>
        </w:rPr>
        <w:t>Proiecte complexe bilaterale România cu Republica Moldova 2025-2027”</w:t>
      </w:r>
      <w:r w:rsidR="00BE0CB7" w:rsidRPr="000B46A7">
        <w:rPr>
          <w:b/>
          <w:lang w:val="ro-RO"/>
        </w:rPr>
        <w:t xml:space="preserve">, </w:t>
      </w:r>
      <w:r w:rsidRPr="000B46A7">
        <w:rPr>
          <w:b/>
          <w:lang w:val="ro-RO"/>
        </w:rPr>
        <w:t xml:space="preserve">conducătorul proiectului – </w:t>
      </w:r>
      <w:r w:rsidR="00521672" w:rsidRPr="000B46A7">
        <w:rPr>
          <w:b/>
          <w:lang w:val="ro-RO"/>
        </w:rPr>
        <w:t xml:space="preserve">dr. Sava </w:t>
      </w:r>
      <w:proofErr w:type="spellStart"/>
      <w:r w:rsidR="00521672" w:rsidRPr="000B46A7">
        <w:rPr>
          <w:b/>
          <w:lang w:val="ro-RO"/>
        </w:rPr>
        <w:t>Lilia</w:t>
      </w:r>
      <w:proofErr w:type="spellEnd"/>
      <w:r w:rsidR="00537088" w:rsidRPr="000B46A7">
        <w:rPr>
          <w:b/>
          <w:lang w:val="ro-RO"/>
        </w:rPr>
        <w:t xml:space="preserve">, </w:t>
      </w:r>
      <w:r w:rsidR="00521672" w:rsidRPr="000B46A7">
        <w:rPr>
          <w:b/>
          <w:color w:val="000000" w:themeColor="text1"/>
          <w:shd w:val="clear" w:color="auto" w:fill="FFFFFF"/>
          <w:lang w:val="ro-RO"/>
        </w:rPr>
        <w:t>Universitatea Tehnică a Moldovei</w:t>
      </w:r>
      <w:r w:rsidR="004C58EC" w:rsidRPr="000B46A7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0B46A7">
        <w:rPr>
          <w:b/>
          <w:lang w:val="ro-RO"/>
        </w:rPr>
        <w:t>(</w:t>
      </w:r>
      <w:r w:rsidR="00E777C1" w:rsidRPr="000B46A7">
        <w:rPr>
          <w:b/>
          <w:color w:val="000000" w:themeColor="text1"/>
          <w:lang w:val="ro-RO"/>
        </w:rPr>
        <w:t xml:space="preserve">Prioritatea V: </w:t>
      </w:r>
      <w:r w:rsidR="00E777C1" w:rsidRPr="000B46A7">
        <w:rPr>
          <w:b/>
          <w:lang w:val="ro-RO"/>
        </w:rPr>
        <w:t>Tehnologii inovative, energie sustenabilă, digitalizare</w:t>
      </w:r>
      <w:r w:rsidR="00EB678A" w:rsidRPr="000B46A7">
        <w:rPr>
          <w:b/>
          <w:lang w:val="ro-RO"/>
        </w:rPr>
        <w:t>)</w:t>
      </w:r>
      <w:r w:rsidRPr="000B46A7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0B46A7">
        <w:rPr>
          <w:b/>
          <w:lang w:val="ro-RO"/>
        </w:rPr>
        <w:t>2</w:t>
      </w:r>
      <w:r w:rsidR="000B46A7" w:rsidRPr="000B46A7">
        <w:rPr>
          <w:b/>
          <w:lang w:val="ro-RO"/>
        </w:rPr>
        <w:t>3</w:t>
      </w:r>
      <w:r w:rsidR="00537088" w:rsidRPr="000B46A7">
        <w:rPr>
          <w:b/>
          <w:lang w:val="ro-RO"/>
        </w:rPr>
        <w:t xml:space="preserve"> </w:t>
      </w:r>
      <w:r w:rsidR="00EB678A" w:rsidRPr="000B46A7">
        <w:rPr>
          <w:b/>
          <w:lang w:val="ro-RO"/>
        </w:rPr>
        <w:t>decembrie</w:t>
      </w:r>
      <w:r w:rsidR="00537088" w:rsidRPr="000B46A7">
        <w:rPr>
          <w:b/>
          <w:lang w:val="ro-RO"/>
        </w:rPr>
        <w:t xml:space="preserve"> 202</w:t>
      </w:r>
      <w:r w:rsidR="002A26BE" w:rsidRPr="000B46A7">
        <w:rPr>
          <w:b/>
          <w:lang w:val="ro-RO"/>
        </w:rPr>
        <w:t>5</w:t>
      </w:r>
      <w:r w:rsidR="00537088" w:rsidRPr="000B46A7">
        <w:rPr>
          <w:b/>
          <w:lang w:val="ro-RO"/>
        </w:rPr>
        <w:t xml:space="preserve"> </w:t>
      </w:r>
      <w:r w:rsidRPr="000B46A7">
        <w:rPr>
          <w:b/>
          <w:lang w:val="ro-RO"/>
        </w:rPr>
        <w:t>și a concluziilor experților.</w:t>
      </w:r>
    </w:p>
    <w:bookmarkEnd w:id="0"/>
    <w:p w14:paraId="037ABAF1" w14:textId="77777777" w:rsidR="00985095" w:rsidRPr="000B46A7" w:rsidRDefault="00985095" w:rsidP="00FA7A63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78607E5A" w:rsidR="004E11B8" w:rsidRPr="000B46A7" w:rsidRDefault="00186652" w:rsidP="00B814C7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0B46A7">
        <w:rPr>
          <w:rFonts w:eastAsia="Calibri"/>
          <w:b/>
          <w:lang w:val="ro-RO" w:eastAsia="en-US"/>
        </w:rPr>
        <w:t>S-a discutat</w:t>
      </w:r>
      <w:r w:rsidRPr="000B46A7">
        <w:rPr>
          <w:rFonts w:eastAsia="Calibri"/>
          <w:lang w:val="ro-RO" w:eastAsia="en-US"/>
        </w:rPr>
        <w:t xml:space="preserve">: </w:t>
      </w:r>
      <w:r w:rsidRPr="000B46A7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0B46A7">
        <w:rPr>
          <w:bCs/>
          <w:lang w:val="ro-RO"/>
        </w:rPr>
        <w:t xml:space="preserve">concursului </w:t>
      </w:r>
      <w:r w:rsidR="00591BEC" w:rsidRPr="000B46A7">
        <w:rPr>
          <w:bCs/>
          <w:lang w:val="ro-RO"/>
        </w:rPr>
        <w:t xml:space="preserve">”Stimularea excelenței </w:t>
      </w:r>
      <w:r w:rsidR="00B5261C" w:rsidRPr="000B46A7">
        <w:rPr>
          <w:bCs/>
          <w:lang w:val="ro-RO"/>
        </w:rPr>
        <w:t>cercetărilor științifice 2025-2026</w:t>
      </w:r>
      <w:r w:rsidR="00591BEC" w:rsidRPr="000B46A7">
        <w:rPr>
          <w:bCs/>
          <w:lang w:val="ro-RO"/>
        </w:rPr>
        <w:t>”</w:t>
      </w:r>
      <w:r w:rsidRPr="000B46A7">
        <w:rPr>
          <w:rFonts w:eastAsia="Calibri"/>
          <w:color w:val="000000"/>
          <w:lang w:val="ro-RO" w:eastAsia="en-US"/>
        </w:rPr>
        <w:t xml:space="preserve">, etapa anului </w:t>
      </w:r>
      <w:r w:rsidRPr="000B46A7">
        <w:rPr>
          <w:rFonts w:eastAsia="Calibri"/>
          <w:lang w:val="ro-RO" w:eastAsia="en-US"/>
        </w:rPr>
        <w:t>202</w:t>
      </w:r>
      <w:r w:rsidR="00B5261C" w:rsidRPr="000B46A7">
        <w:rPr>
          <w:rFonts w:eastAsia="Calibri"/>
          <w:lang w:val="ro-RO" w:eastAsia="en-US"/>
        </w:rPr>
        <w:t>5</w:t>
      </w:r>
      <w:r w:rsidRPr="000B46A7">
        <w:rPr>
          <w:rFonts w:eastAsia="Calibri"/>
          <w:lang w:val="ro-RO" w:eastAsia="en-US"/>
        </w:rPr>
        <w:t xml:space="preserve"> </w:t>
      </w:r>
      <w:r w:rsidR="0070245E" w:rsidRPr="000B46A7">
        <w:rPr>
          <w:lang w:val="ro-RO"/>
        </w:rPr>
        <w:t>“</w:t>
      </w:r>
      <w:r w:rsidR="00521672" w:rsidRPr="000B46A7">
        <w:rPr>
          <w:lang w:val="ro-RO"/>
        </w:rPr>
        <w:t>Laborator virtual de date deschise și știință deschisă în noua generație de sisteme de calcul continuu</w:t>
      </w:r>
      <w:r w:rsidR="0070245E" w:rsidRPr="000B46A7">
        <w:rPr>
          <w:lang w:val="ro-RO"/>
        </w:rPr>
        <w:t>”</w:t>
      </w:r>
      <w:r w:rsidRPr="000B46A7">
        <w:rPr>
          <w:rFonts w:eastAsia="Calibri"/>
          <w:color w:val="000000"/>
          <w:lang w:val="ro-RO" w:eastAsia="en-US"/>
        </w:rPr>
        <w:t xml:space="preserve">, conducătorul proiectului – </w:t>
      </w:r>
      <w:r w:rsidR="00521672" w:rsidRPr="000B46A7">
        <w:rPr>
          <w:lang w:val="ro-RO"/>
        </w:rPr>
        <w:t xml:space="preserve">dr. Sava </w:t>
      </w:r>
      <w:proofErr w:type="spellStart"/>
      <w:r w:rsidR="00521672" w:rsidRPr="000B46A7">
        <w:rPr>
          <w:lang w:val="ro-RO"/>
        </w:rPr>
        <w:t>Lilia</w:t>
      </w:r>
      <w:proofErr w:type="spellEnd"/>
      <w:r w:rsidR="001543EF">
        <w:rPr>
          <w:lang w:val="ro-RO"/>
        </w:rPr>
        <w:t>.</w:t>
      </w:r>
    </w:p>
    <w:p w14:paraId="557B4C5D" w14:textId="77777777" w:rsidR="004E11B8" w:rsidRPr="000B46A7" w:rsidRDefault="004E11B8" w:rsidP="00FA7A63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0B46A7" w:rsidRDefault="00186652" w:rsidP="00B814C7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0B46A7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B814C7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42A22D80" w:rsidR="00186652" w:rsidRPr="00416E8C" w:rsidRDefault="00186652" w:rsidP="00B814C7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E41F78">
        <w:rPr>
          <w:rFonts w:eastAsia="Calibri"/>
          <w:lang w:val="ro-RO" w:eastAsia="en-US"/>
        </w:rPr>
        <w:t>5</w:t>
      </w:r>
      <w:r w:rsidR="0028394A">
        <w:rPr>
          <w:rFonts w:eastAsia="Calibri"/>
          <w:lang w:val="ro-RO" w:eastAsia="en-US"/>
        </w:rPr>
        <w:t>,</w:t>
      </w:r>
      <w:r w:rsidR="00E41F78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FA7A63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B814C7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FA7A63">
      <w:pPr>
        <w:spacing w:line="160" w:lineRule="exact"/>
        <w:jc w:val="both"/>
        <w:rPr>
          <w:b/>
          <w:lang w:val="ro-RO"/>
        </w:rPr>
      </w:pPr>
    </w:p>
    <w:p w14:paraId="1A196132" w14:textId="241E05DA" w:rsidR="0042079A" w:rsidRDefault="0042079A" w:rsidP="00B814C7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“bine”.</w:t>
      </w:r>
    </w:p>
    <w:p w14:paraId="5AB27263" w14:textId="4432DC54" w:rsidR="0042079A" w:rsidRDefault="008E63CE" w:rsidP="00B814C7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propusă arhitectura </w:t>
      </w:r>
      <w:r w:rsidRPr="008E63CE">
        <w:rPr>
          <w:bCs/>
          <w:lang w:val="ro-RO"/>
        </w:rPr>
        <w:t>laboratorului virtual, care reflectă majoritatea componentelor moderne legate de infrastructurile continue de calcul, are suficientă noutate și relevanță științific</w:t>
      </w:r>
      <w:r w:rsidR="0075638F">
        <w:rPr>
          <w:bCs/>
          <w:lang w:val="ro-RO"/>
        </w:rPr>
        <w:t>ă</w:t>
      </w:r>
      <w:r w:rsidRPr="008E63CE">
        <w:rPr>
          <w:bCs/>
          <w:lang w:val="ro-RO"/>
        </w:rPr>
        <w:t>. Soluția arhitecturală atinge nivelul necesar de echilibru, ceea ce nu este o sarcină triviala pentru infrastructuri atât de complexe și implică numeroase provocări.</w:t>
      </w:r>
    </w:p>
    <w:p w14:paraId="6E3B6113" w14:textId="0B7A7F11" w:rsidR="0075638F" w:rsidRPr="0075638F" w:rsidRDefault="0075638F" w:rsidP="00B814C7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0423A8">
        <w:rPr>
          <w:bCs/>
          <w:lang w:val="ro-RO"/>
        </w:rPr>
        <w:t>u</w:t>
      </w:r>
      <w:r>
        <w:rPr>
          <w:bCs/>
          <w:lang w:val="ro-RO"/>
        </w:rPr>
        <w:t xml:space="preserve"> fost studiate resurse de calcul </w:t>
      </w:r>
      <w:r w:rsidRPr="008E63CE">
        <w:rPr>
          <w:bCs/>
          <w:lang w:val="ro-RO"/>
        </w:rPr>
        <w:t xml:space="preserve"> pentru procesarea informațiilor de cercetare, stocarea și accesul la date deschise, care pot asigura funcționarea instrumentelor moderne de analiză a datelor și pot sprijini inteligența artificială pentru cercetare.</w:t>
      </w:r>
    </w:p>
    <w:p w14:paraId="082D2EF2" w14:textId="77777777" w:rsidR="0042079A" w:rsidRDefault="0042079A" w:rsidP="00FA7A63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486EAF0A" w14:textId="3787FBCF" w:rsidR="0042079A" w:rsidRDefault="0042079A" w:rsidP="00B814C7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</w:t>
      </w:r>
      <w:r w:rsidR="00CE518E">
        <w:rPr>
          <w:lang w:val="ro-RO"/>
        </w:rPr>
        <w:t xml:space="preserve">foarte </w:t>
      </w:r>
      <w:r>
        <w:rPr>
          <w:lang w:val="ro-RO"/>
        </w:rPr>
        <w:t>bine”.</w:t>
      </w:r>
      <w:bookmarkEnd w:id="1"/>
    </w:p>
    <w:p w14:paraId="457E353F" w14:textId="3C9953AC" w:rsidR="008E63CE" w:rsidRDefault="0042079A" w:rsidP="00B814C7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7E074E">
        <w:rPr>
          <w:bCs/>
          <w:lang w:val="ro-RO"/>
        </w:rPr>
        <w:t>u</w:t>
      </w:r>
      <w:r>
        <w:rPr>
          <w:bCs/>
          <w:lang w:val="ro-RO"/>
        </w:rPr>
        <w:t xml:space="preserve"> fost</w:t>
      </w:r>
      <w:r w:rsidR="008E63CE">
        <w:rPr>
          <w:bCs/>
          <w:lang w:val="ro-RO"/>
        </w:rPr>
        <w:t xml:space="preserve"> </w:t>
      </w:r>
      <w:r w:rsidR="007E074E">
        <w:rPr>
          <w:bCs/>
          <w:lang w:val="ro-RO"/>
        </w:rPr>
        <w:t xml:space="preserve">publicate 13 teze în lucrările conferinței </w:t>
      </w:r>
      <w:proofErr w:type="spellStart"/>
      <w:r w:rsidR="007E074E">
        <w:rPr>
          <w:bCs/>
          <w:lang w:val="ro-RO"/>
        </w:rPr>
        <w:t>RoEduNet</w:t>
      </w:r>
      <w:proofErr w:type="spellEnd"/>
      <w:r w:rsidR="008E63CE" w:rsidRPr="008E63CE">
        <w:rPr>
          <w:bCs/>
          <w:lang w:val="ro-RO"/>
        </w:rPr>
        <w:t xml:space="preserve">. </w:t>
      </w:r>
    </w:p>
    <w:p w14:paraId="2041DADF" w14:textId="35E87524" w:rsidR="008E63CE" w:rsidRDefault="008E63CE" w:rsidP="00B814C7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Pr="008E63CE">
        <w:rPr>
          <w:bCs/>
          <w:lang w:val="ro-RO"/>
        </w:rPr>
        <w:t>u fost organizate evenimente de promovare a proiectului care includ Ziua de informa</w:t>
      </w:r>
      <w:r w:rsidR="008D2696">
        <w:rPr>
          <w:bCs/>
          <w:lang w:val="ro-RO"/>
        </w:rPr>
        <w:t>r</w:t>
      </w:r>
      <w:r w:rsidRPr="008E63CE">
        <w:rPr>
          <w:bCs/>
          <w:lang w:val="ro-RO"/>
        </w:rPr>
        <w:t>e, sesiunile de instruire, participare la conferențele științifice cu prezentarea rapoartele științifice și publicarea rezultatelor</w:t>
      </w:r>
      <w:r>
        <w:rPr>
          <w:bCs/>
          <w:lang w:val="ro-RO"/>
        </w:rPr>
        <w:t>.</w:t>
      </w:r>
    </w:p>
    <w:p w14:paraId="36669DFC" w14:textId="77777777" w:rsidR="0042079A" w:rsidRDefault="0042079A" w:rsidP="00FA7A63">
      <w:pPr>
        <w:spacing w:line="160" w:lineRule="exact"/>
        <w:jc w:val="both"/>
        <w:rPr>
          <w:bCs/>
          <w:lang w:val="ro-RO"/>
        </w:rPr>
      </w:pPr>
    </w:p>
    <w:p w14:paraId="19C7A304" w14:textId="7C0474AA" w:rsidR="0042079A" w:rsidRDefault="0042079A" w:rsidP="00B814C7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</w:t>
      </w:r>
      <w:proofErr w:type="spellStart"/>
      <w:r>
        <w:rPr>
          <w:bCs/>
          <w:i/>
          <w:iCs/>
          <w:lang w:val="ro-RO"/>
        </w:rPr>
        <w:t>socio</w:t>
      </w:r>
      <w:proofErr w:type="spellEnd"/>
      <w:r>
        <w:rPr>
          <w:bCs/>
          <w:i/>
          <w:iCs/>
          <w:lang w:val="ro-RO"/>
        </w:rPr>
        <w:t xml:space="preserve">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8E63CE">
        <w:rPr>
          <w:lang w:val="ro-RO"/>
        </w:rPr>
        <w:t>bine</w:t>
      </w:r>
      <w:r>
        <w:rPr>
          <w:lang w:val="ro-RO"/>
        </w:rPr>
        <w:t>”.</w:t>
      </w:r>
    </w:p>
    <w:p w14:paraId="1AC59B75" w14:textId="6971AC1A" w:rsidR="0042079A" w:rsidRDefault="008E63CE" w:rsidP="00B814C7">
      <w:pPr>
        <w:pStyle w:val="ListParagraph"/>
        <w:numPr>
          <w:ilvl w:val="0"/>
          <w:numId w:val="29"/>
        </w:numPr>
        <w:contextualSpacing w:val="0"/>
        <w:rPr>
          <w:lang w:val="ro-RO"/>
        </w:rPr>
      </w:pPr>
      <w:r w:rsidRPr="008E63CE">
        <w:rPr>
          <w:lang w:val="ro-RO"/>
        </w:rPr>
        <w:t>Rezultatele proiectului vizează în principal formarea de personal calificat în domeniul infrastructurii informatice moderne și al prelucrării informațiilor științifice.</w:t>
      </w:r>
    </w:p>
    <w:p w14:paraId="29E9AA87" w14:textId="77777777" w:rsidR="0042079A" w:rsidRDefault="0042079A" w:rsidP="00FA7A63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043FBA6A" w14:textId="40842D3C" w:rsidR="0042079A" w:rsidRDefault="0042079A" w:rsidP="00B814C7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</w:t>
      </w:r>
      <w:r w:rsidR="00B814C7">
        <w:rPr>
          <w:bCs/>
          <w:lang w:val="ro-RO"/>
        </w:rPr>
        <w:t>bine</w:t>
      </w:r>
      <w:r>
        <w:rPr>
          <w:bCs/>
          <w:lang w:val="ro-RO"/>
        </w:rPr>
        <w:t>”.</w:t>
      </w:r>
    </w:p>
    <w:p w14:paraId="1BDF1EEB" w14:textId="61B0001E" w:rsidR="0042079A" w:rsidRDefault="0042079A" w:rsidP="00B814C7">
      <w:pPr>
        <w:pStyle w:val="ListParagraph"/>
        <w:numPr>
          <w:ilvl w:val="0"/>
          <w:numId w:val="29"/>
        </w:numPr>
        <w:contextualSpacing w:val="0"/>
        <w:jc w:val="both"/>
        <w:rPr>
          <w:lang w:val="ro-RO"/>
        </w:rPr>
      </w:pPr>
      <w:r>
        <w:rPr>
          <w:lang w:val="ro-RO"/>
        </w:rPr>
        <w:t>A fost demonst</w:t>
      </w:r>
      <w:r w:rsidR="008E63CE">
        <w:rPr>
          <w:lang w:val="ro-RO"/>
        </w:rPr>
        <w:t>rată doar colaborarea cu o echipă de cercetători parteneri a proiectului</w:t>
      </w:r>
      <w:r w:rsidR="000423A8">
        <w:rPr>
          <w:lang w:val="ro-RO"/>
        </w:rPr>
        <w:t>. La evenimentele de instruire și promovarea proiectului au participat doar reprezentanții echipei proiectului de la UTM.</w:t>
      </w:r>
    </w:p>
    <w:p w14:paraId="59E62211" w14:textId="77777777" w:rsidR="00186652" w:rsidRDefault="00186652" w:rsidP="00B814C7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B814C7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B814C7">
      <w:pPr>
        <w:rPr>
          <w:b/>
          <w:lang w:val="ro-RO"/>
        </w:rPr>
      </w:pPr>
    </w:p>
    <w:p w14:paraId="42E8398A" w14:textId="4D25AC72" w:rsidR="008432BC" w:rsidRPr="00F81B82" w:rsidRDefault="008432BC" w:rsidP="00B814C7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7C748D30" w:rsidR="00022581" w:rsidRPr="00F81B82" w:rsidRDefault="00521672" w:rsidP="00B814C7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B814C7">
      <w:pPr>
        <w:rPr>
          <w:lang w:val="ro-RO"/>
        </w:rPr>
      </w:pPr>
    </w:p>
    <w:p w14:paraId="571CD9E7" w14:textId="41DDA759" w:rsidR="00D3091E" w:rsidRPr="00F81B82" w:rsidRDefault="008432BC" w:rsidP="00B814C7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FA7A63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955000">
      <w:pgSz w:w="11907" w:h="16839" w:code="9"/>
      <w:pgMar w:top="540" w:right="708" w:bottom="9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AC71" w14:textId="77777777" w:rsidR="00241118" w:rsidRDefault="00241118" w:rsidP="00014779">
      <w:r>
        <w:separator/>
      </w:r>
    </w:p>
  </w:endnote>
  <w:endnote w:type="continuationSeparator" w:id="0">
    <w:p w14:paraId="208D8E31" w14:textId="77777777" w:rsidR="00241118" w:rsidRDefault="0024111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3A20" w14:textId="77777777" w:rsidR="00241118" w:rsidRDefault="00241118" w:rsidP="00014779">
      <w:r>
        <w:separator/>
      </w:r>
    </w:p>
  </w:footnote>
  <w:footnote w:type="continuationSeparator" w:id="0">
    <w:p w14:paraId="631BA8D0" w14:textId="77777777" w:rsidR="00241118" w:rsidRDefault="0024111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23A8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46A7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2001"/>
    <w:rsid w:val="000F5D32"/>
    <w:rsid w:val="000F6BD2"/>
    <w:rsid w:val="00101C71"/>
    <w:rsid w:val="001079DB"/>
    <w:rsid w:val="00107E0F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088"/>
    <w:rsid w:val="00140A54"/>
    <w:rsid w:val="00142982"/>
    <w:rsid w:val="00144A15"/>
    <w:rsid w:val="001459C7"/>
    <w:rsid w:val="00145EA5"/>
    <w:rsid w:val="00147064"/>
    <w:rsid w:val="00152E39"/>
    <w:rsid w:val="00153C0F"/>
    <w:rsid w:val="001543E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4164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1118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8CC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079A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1672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4020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5638F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074E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1F1F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2696"/>
    <w:rsid w:val="008D35C9"/>
    <w:rsid w:val="008D5FCD"/>
    <w:rsid w:val="008E00C1"/>
    <w:rsid w:val="008E2E45"/>
    <w:rsid w:val="008E37BF"/>
    <w:rsid w:val="008E3BBD"/>
    <w:rsid w:val="008E3BC2"/>
    <w:rsid w:val="008E63CE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55000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14C7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1DCA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257"/>
    <w:rsid w:val="00CD2A6A"/>
    <w:rsid w:val="00CD7B08"/>
    <w:rsid w:val="00CD7E89"/>
    <w:rsid w:val="00CE0C2D"/>
    <w:rsid w:val="00CE518E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4A5E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1F78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47E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A7A63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475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100</cp:revision>
  <cp:lastPrinted>2022-12-05T10:45:00Z</cp:lastPrinted>
  <dcterms:created xsi:type="dcterms:W3CDTF">2025-12-15T00:06:00Z</dcterms:created>
  <dcterms:modified xsi:type="dcterms:W3CDTF">2025-12-27T17:35:00Z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