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2082A9EA" w:rsidR="00AF12D7" w:rsidRPr="001C1496" w:rsidRDefault="00AF12D7" w:rsidP="004C58EC">
      <w:pPr>
        <w:jc w:val="center"/>
        <w:rPr>
          <w:b/>
          <w:lang w:val="ro-RO"/>
        </w:rPr>
      </w:pPr>
      <w:r w:rsidRPr="001C1496">
        <w:rPr>
          <w:b/>
          <w:lang w:val="ro-RO"/>
        </w:rPr>
        <w:t xml:space="preserve">asupra raportului pe proiectul </w:t>
      </w:r>
      <w:r w:rsidR="007E33E7" w:rsidRPr="001C1496">
        <w:rPr>
          <w:b/>
          <w:lang w:val="ro-RO"/>
        </w:rPr>
        <w:t xml:space="preserve">25.80013.7007.39ROMD </w:t>
      </w:r>
      <w:r w:rsidRPr="001C1496">
        <w:rPr>
          <w:b/>
          <w:lang w:val="ro-RO"/>
        </w:rPr>
        <w:t xml:space="preserve">din cadrul </w:t>
      </w:r>
      <w:bookmarkStart w:id="0" w:name="_Hlk91045286"/>
      <w:r w:rsidR="00EB678A" w:rsidRPr="001C1496">
        <w:rPr>
          <w:b/>
          <w:lang w:val="ro-RO"/>
        </w:rPr>
        <w:t xml:space="preserve">concursului </w:t>
      </w:r>
      <w:r w:rsidR="00E777C1" w:rsidRPr="001C1496">
        <w:rPr>
          <w:b/>
          <w:lang w:val="ro-RO"/>
        </w:rPr>
        <w:t>”</w:t>
      </w:r>
      <w:r w:rsidR="00353CA3" w:rsidRPr="001C1496">
        <w:rPr>
          <w:b/>
          <w:lang w:val="ro-RO"/>
        </w:rPr>
        <w:t>Proiecte complexe bilaterale România cu Republica Moldova 2025-2027”</w:t>
      </w:r>
      <w:r w:rsidR="00BE0CB7" w:rsidRPr="001C1496">
        <w:rPr>
          <w:b/>
          <w:lang w:val="ro-RO"/>
        </w:rPr>
        <w:t xml:space="preserve">, </w:t>
      </w:r>
      <w:r w:rsidRPr="001C1496">
        <w:rPr>
          <w:b/>
          <w:lang w:val="ro-RO"/>
        </w:rPr>
        <w:t xml:space="preserve">conducătorul proiectului – </w:t>
      </w:r>
      <w:r w:rsidR="000808E3" w:rsidRPr="001C1496">
        <w:rPr>
          <w:b/>
          <w:lang w:val="ro-RO"/>
        </w:rPr>
        <w:t>dr</w:t>
      </w:r>
      <w:r w:rsidR="00D65215" w:rsidRPr="001C1496">
        <w:rPr>
          <w:b/>
          <w:lang w:val="ro-RO"/>
        </w:rPr>
        <w:t xml:space="preserve">. </w:t>
      </w:r>
      <w:r w:rsidR="007E33E7" w:rsidRPr="001C1496">
        <w:rPr>
          <w:b/>
          <w:lang w:val="ro-RO"/>
        </w:rPr>
        <w:t>Nastas Raisa</w:t>
      </w:r>
      <w:r w:rsidR="00537088" w:rsidRPr="001C1496">
        <w:rPr>
          <w:b/>
          <w:lang w:val="ro-RO"/>
        </w:rPr>
        <w:t xml:space="preserve">, </w:t>
      </w:r>
      <w:r w:rsidR="00D5674A" w:rsidRPr="001C1496">
        <w:rPr>
          <w:b/>
          <w:color w:val="000000" w:themeColor="text1"/>
          <w:shd w:val="clear" w:color="auto" w:fill="FFFFFF"/>
          <w:lang w:val="ro-RO"/>
        </w:rPr>
        <w:t xml:space="preserve">Institutul de </w:t>
      </w:r>
      <w:r w:rsidR="00C754F9" w:rsidRPr="001C1496">
        <w:rPr>
          <w:b/>
          <w:color w:val="000000" w:themeColor="text1"/>
          <w:shd w:val="clear" w:color="auto" w:fill="FFFFFF"/>
          <w:lang w:val="ro-RO"/>
        </w:rPr>
        <w:t>Chimie</w:t>
      </w:r>
      <w:r w:rsidR="00D5674A" w:rsidRPr="001C1496">
        <w:rPr>
          <w:b/>
          <w:color w:val="000000" w:themeColor="text1"/>
          <w:shd w:val="clear" w:color="auto" w:fill="FFFFFF"/>
          <w:lang w:val="ro-RO"/>
        </w:rPr>
        <w:t>, USM</w:t>
      </w:r>
      <w:r w:rsidR="004C58EC" w:rsidRPr="001C1496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1C1496">
        <w:rPr>
          <w:b/>
          <w:lang w:val="ro-RO"/>
        </w:rPr>
        <w:t>(</w:t>
      </w:r>
      <w:r w:rsidR="00E777C1" w:rsidRPr="001C1496">
        <w:rPr>
          <w:b/>
          <w:color w:val="000000" w:themeColor="text1"/>
          <w:lang w:val="ro-RO"/>
        </w:rPr>
        <w:t xml:space="preserve">Prioritatea </w:t>
      </w:r>
      <w:r w:rsidR="00127DF9" w:rsidRPr="001C1496">
        <w:rPr>
          <w:b/>
          <w:color w:val="000000" w:themeColor="text1"/>
          <w:lang w:val="ro-RO"/>
        </w:rPr>
        <w:t>III</w:t>
      </w:r>
      <w:r w:rsidR="00E777C1" w:rsidRPr="001C1496">
        <w:rPr>
          <w:b/>
          <w:color w:val="000000" w:themeColor="text1"/>
          <w:lang w:val="ro-RO"/>
        </w:rPr>
        <w:t xml:space="preserve">: </w:t>
      </w:r>
      <w:r w:rsidR="00127DF9" w:rsidRPr="001C1496">
        <w:rPr>
          <w:b/>
          <w:lang w:val="ro-RO"/>
        </w:rPr>
        <w:t>Biotehnologii și Protecția Mediului</w:t>
      </w:r>
      <w:r w:rsidR="00EB678A" w:rsidRPr="001C1496">
        <w:rPr>
          <w:b/>
          <w:lang w:val="ro-RO"/>
        </w:rPr>
        <w:t>)</w:t>
      </w:r>
      <w:r w:rsidRPr="001C1496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1C1496">
        <w:rPr>
          <w:b/>
          <w:lang w:val="ro-RO"/>
        </w:rPr>
        <w:t>2</w:t>
      </w:r>
      <w:r w:rsidR="0078362D" w:rsidRPr="001C1496">
        <w:rPr>
          <w:b/>
          <w:lang w:val="ro-RO"/>
        </w:rPr>
        <w:t>3</w:t>
      </w:r>
      <w:r w:rsidR="00537088" w:rsidRPr="001C1496">
        <w:rPr>
          <w:b/>
          <w:lang w:val="ro-RO"/>
        </w:rPr>
        <w:t xml:space="preserve"> </w:t>
      </w:r>
      <w:r w:rsidR="00EB678A" w:rsidRPr="001C1496">
        <w:rPr>
          <w:b/>
          <w:lang w:val="ro-RO"/>
        </w:rPr>
        <w:t>decembrie</w:t>
      </w:r>
      <w:r w:rsidR="00537088" w:rsidRPr="001C1496">
        <w:rPr>
          <w:b/>
          <w:lang w:val="ro-RO"/>
        </w:rPr>
        <w:t xml:space="preserve"> 202</w:t>
      </w:r>
      <w:r w:rsidR="002A26BE" w:rsidRPr="001C1496">
        <w:rPr>
          <w:b/>
          <w:lang w:val="ro-RO"/>
        </w:rPr>
        <w:t>5</w:t>
      </w:r>
      <w:r w:rsidR="00537088" w:rsidRPr="001C1496">
        <w:rPr>
          <w:b/>
          <w:lang w:val="ro-RO"/>
        </w:rPr>
        <w:t xml:space="preserve"> </w:t>
      </w:r>
      <w:r w:rsidRPr="001C1496">
        <w:rPr>
          <w:b/>
          <w:lang w:val="ro-RO"/>
        </w:rPr>
        <w:t>și a concluziilor experților.</w:t>
      </w:r>
    </w:p>
    <w:bookmarkEnd w:id="0"/>
    <w:p w14:paraId="037ABAF1" w14:textId="77777777" w:rsidR="00985095" w:rsidRPr="001C1496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2473A583" w:rsidR="004E11B8" w:rsidRPr="001C1496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1C1496">
        <w:rPr>
          <w:rFonts w:eastAsia="Calibri"/>
          <w:b/>
          <w:lang w:val="ro-RO" w:eastAsia="en-US"/>
        </w:rPr>
        <w:t>S-a discutat</w:t>
      </w:r>
      <w:r w:rsidRPr="001C1496">
        <w:rPr>
          <w:rFonts w:eastAsia="Calibri"/>
          <w:lang w:val="ro-RO" w:eastAsia="en-US"/>
        </w:rPr>
        <w:t xml:space="preserve">: </w:t>
      </w:r>
      <w:r w:rsidRPr="001C1496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1C1496">
        <w:rPr>
          <w:bCs/>
          <w:lang w:val="ro-RO"/>
        </w:rPr>
        <w:t xml:space="preserve">concursului </w:t>
      </w:r>
      <w:r w:rsidR="00591BEC" w:rsidRPr="001C1496">
        <w:rPr>
          <w:bCs/>
          <w:lang w:val="ro-RO"/>
        </w:rPr>
        <w:t xml:space="preserve">”Stimularea excelenței </w:t>
      </w:r>
      <w:r w:rsidR="00B5261C" w:rsidRPr="001C1496">
        <w:rPr>
          <w:bCs/>
          <w:lang w:val="ro-RO"/>
        </w:rPr>
        <w:t>cercetărilor științifice 2025-2026</w:t>
      </w:r>
      <w:r w:rsidR="00591BEC" w:rsidRPr="001C1496">
        <w:rPr>
          <w:bCs/>
          <w:lang w:val="ro-RO"/>
        </w:rPr>
        <w:t>”</w:t>
      </w:r>
      <w:r w:rsidRPr="001C1496">
        <w:rPr>
          <w:rFonts w:eastAsia="Calibri"/>
          <w:color w:val="000000"/>
          <w:lang w:val="ro-RO" w:eastAsia="en-US"/>
        </w:rPr>
        <w:t xml:space="preserve">, etapa anului </w:t>
      </w:r>
      <w:r w:rsidRPr="001C1496">
        <w:rPr>
          <w:rFonts w:eastAsia="Calibri"/>
          <w:lang w:val="ro-RO" w:eastAsia="en-US"/>
        </w:rPr>
        <w:t>202</w:t>
      </w:r>
      <w:r w:rsidR="00B5261C" w:rsidRPr="001C1496">
        <w:rPr>
          <w:rFonts w:eastAsia="Calibri"/>
          <w:lang w:val="ro-RO" w:eastAsia="en-US"/>
        </w:rPr>
        <w:t>5</w:t>
      </w:r>
      <w:r w:rsidRPr="001C1496">
        <w:rPr>
          <w:rFonts w:eastAsia="Calibri"/>
          <w:lang w:val="ro-RO" w:eastAsia="en-US"/>
        </w:rPr>
        <w:t xml:space="preserve"> </w:t>
      </w:r>
      <w:r w:rsidR="0070245E" w:rsidRPr="001C1496">
        <w:rPr>
          <w:lang w:val="ro-RO"/>
        </w:rPr>
        <w:t>“</w:t>
      </w:r>
      <w:r w:rsidR="007E33E7" w:rsidRPr="001C1496">
        <w:rPr>
          <w:lang w:val="ro-RO"/>
        </w:rPr>
        <w:t>Materiale compozite cu proprietăți ajustabile având aplicații în fotocataliza și supercapacitori</w:t>
      </w:r>
      <w:r w:rsidR="0070245E" w:rsidRPr="001C1496">
        <w:rPr>
          <w:lang w:val="ro-RO"/>
        </w:rPr>
        <w:t>”</w:t>
      </w:r>
      <w:r w:rsidRPr="001C1496">
        <w:rPr>
          <w:rFonts w:eastAsia="Calibri"/>
          <w:color w:val="000000"/>
          <w:lang w:val="ro-RO" w:eastAsia="en-US"/>
        </w:rPr>
        <w:t xml:space="preserve">, conducătorul proiectului – </w:t>
      </w:r>
      <w:r w:rsidR="007E33E7" w:rsidRPr="001C1496">
        <w:rPr>
          <w:rFonts w:eastAsia="Calibri"/>
          <w:color w:val="000000"/>
          <w:lang w:val="ro-RO" w:eastAsia="en-US"/>
        </w:rPr>
        <w:t xml:space="preserve">dr. </w:t>
      </w:r>
      <w:r w:rsidR="007E33E7" w:rsidRPr="001C1496">
        <w:rPr>
          <w:lang w:val="ro-RO"/>
        </w:rPr>
        <w:t>Nastas Raisa</w:t>
      </w:r>
    </w:p>
    <w:p w14:paraId="557B4C5D" w14:textId="77777777" w:rsidR="004E11B8" w:rsidRPr="001C1496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99FA665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275E1A">
        <w:rPr>
          <w:rFonts w:eastAsia="Calibri"/>
          <w:lang w:val="ro-RO" w:eastAsia="en-US"/>
        </w:rPr>
        <w:t xml:space="preserve"> </w:t>
      </w:r>
      <w:r w:rsidR="00275E1A" w:rsidRPr="00275E1A">
        <w:rPr>
          <w:rFonts w:eastAsia="Calibri"/>
          <w:b/>
          <w:lang w:val="ro-RO" w:eastAsia="en-US"/>
        </w:rPr>
        <w:t>foarte</w:t>
      </w:r>
      <w:r w:rsidR="00275E1A">
        <w:rPr>
          <w:rFonts w:eastAsia="Calibri"/>
          <w:lang w:val="ro-RO" w:eastAsia="en-US"/>
        </w:rPr>
        <w:t xml:space="preserve"> 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275E1A">
        <w:rPr>
          <w:rFonts w:eastAsia="Calibri"/>
          <w:lang w:val="ro-RO" w:eastAsia="en-US"/>
        </w:rPr>
        <w:t>9</w:t>
      </w:r>
      <w:r w:rsidR="0028394A">
        <w:rPr>
          <w:rFonts w:eastAsia="Calibri"/>
          <w:lang w:val="ro-RO" w:eastAsia="en-US"/>
        </w:rPr>
        <w:t>,</w:t>
      </w:r>
      <w:r w:rsidR="00275E1A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6CDD3448" w14:textId="77777777" w:rsidR="001C2727" w:rsidRDefault="001C2727" w:rsidP="001C2727">
      <w:pPr>
        <w:pStyle w:val="ListParagraph"/>
        <w:numPr>
          <w:ilvl w:val="0"/>
          <w:numId w:val="28"/>
        </w:numPr>
        <w:spacing w:line="288" w:lineRule="auto"/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08339B8B" w14:textId="127BB1FE" w:rsidR="00275E1A" w:rsidRDefault="00EB2556" w:rsidP="00275E1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EB2556">
        <w:rPr>
          <w:bCs/>
          <w:lang w:val="ro-RO"/>
        </w:rPr>
        <w:t>A fost colectată o cantitate suficientă de materie primă vegetală (sâmburi de piersici), materia</w:t>
      </w:r>
      <w:r w:rsidR="00272BC7">
        <w:rPr>
          <w:bCs/>
          <w:lang w:val="ro-RO"/>
        </w:rPr>
        <w:t xml:space="preserve"> </w:t>
      </w:r>
      <w:r w:rsidRPr="00275E1A">
        <w:rPr>
          <w:bCs/>
          <w:lang w:val="ro-RO"/>
        </w:rPr>
        <w:t>primă fiind caracterizată prin compoziție lignocelulozică tipică (hemiceluloză 20-28%</w:t>
      </w:r>
      <w:r w:rsidR="00272BC7">
        <w:rPr>
          <w:bCs/>
          <w:lang w:val="ro-RO"/>
        </w:rPr>
        <w:t xml:space="preserve">, </w:t>
      </w:r>
      <w:r w:rsidRPr="00275E1A">
        <w:rPr>
          <w:bCs/>
          <w:lang w:val="ro-RO"/>
        </w:rPr>
        <w:t>celu</w:t>
      </w:r>
      <w:r w:rsidR="00275E1A">
        <w:rPr>
          <w:bCs/>
          <w:lang w:val="ro-RO"/>
        </w:rPr>
        <w:t>loză 22-30%, lignină 0,2–1,0%).</w:t>
      </w:r>
    </w:p>
    <w:p w14:paraId="10028FD3" w14:textId="0AEDEE6D" w:rsidR="00EB2556" w:rsidRPr="00275E1A" w:rsidRDefault="00275E1A" w:rsidP="00275E1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A fost efectuată a</w:t>
      </w:r>
      <w:r w:rsidR="00EB2556" w:rsidRPr="00275E1A">
        <w:rPr>
          <w:bCs/>
          <w:lang w:val="ro-RO"/>
        </w:rPr>
        <w:t>naliza termică</w:t>
      </w:r>
      <w:r w:rsidR="00272BC7">
        <w:rPr>
          <w:bCs/>
          <w:lang w:val="ro-RO"/>
        </w:rPr>
        <w:t>,</w:t>
      </w:r>
      <w:r w:rsidR="00EB2556" w:rsidRPr="00275E1A">
        <w:rPr>
          <w:bCs/>
          <w:lang w:val="ro-RO"/>
        </w:rPr>
        <w:t xml:space="preserve"> </w:t>
      </w:r>
      <w:r>
        <w:rPr>
          <w:bCs/>
          <w:lang w:val="ro-RO"/>
        </w:rPr>
        <w:t xml:space="preserve">care </w:t>
      </w:r>
      <w:r w:rsidR="00EB2556" w:rsidRPr="00275E1A">
        <w:rPr>
          <w:bCs/>
          <w:lang w:val="ro-RO"/>
        </w:rPr>
        <w:t>a permis descrierea etapelor de piroliză</w:t>
      </w:r>
      <w:r>
        <w:rPr>
          <w:bCs/>
          <w:lang w:val="ro-RO"/>
        </w:rPr>
        <w:t xml:space="preserve"> </w:t>
      </w:r>
      <w:r w:rsidR="00272BC7">
        <w:rPr>
          <w:bCs/>
          <w:lang w:val="ro-RO"/>
        </w:rPr>
        <w:t>ș</w:t>
      </w:r>
      <w:r w:rsidR="00EB2556" w:rsidRPr="00275E1A">
        <w:rPr>
          <w:bCs/>
          <w:lang w:val="ro-RO"/>
        </w:rPr>
        <w:t xml:space="preserve">i stabilirea comportamentului termic necesar modelării proceselor de carbonizare </w:t>
      </w:r>
      <w:r w:rsidR="00272BC7">
        <w:rPr>
          <w:bCs/>
          <w:lang w:val="ro-RO"/>
        </w:rPr>
        <w:t>ș</w:t>
      </w:r>
      <w:r w:rsidR="00EB2556" w:rsidRPr="00275E1A">
        <w:rPr>
          <w:bCs/>
          <w:lang w:val="ro-RO"/>
        </w:rPr>
        <w:t>i activare.</w:t>
      </w:r>
    </w:p>
    <w:p w14:paraId="649EFB8B" w14:textId="625CE813" w:rsidR="00275E1A" w:rsidRDefault="00275E1A" w:rsidP="00275E1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EB2556" w:rsidRPr="00EB2556">
        <w:rPr>
          <w:bCs/>
          <w:lang w:val="ro-RO"/>
        </w:rPr>
        <w:t>u fost determinate etapele de degradare: hemiceluloza (180-</w:t>
      </w:r>
      <w:r w:rsidR="00EB2556" w:rsidRPr="00275E1A">
        <w:rPr>
          <w:bCs/>
          <w:lang w:val="ro-RO"/>
        </w:rPr>
        <w:t xml:space="preserve">320 °C), celuloza (300–400 °C) </w:t>
      </w:r>
      <w:r w:rsidR="00272BC7">
        <w:rPr>
          <w:bCs/>
          <w:lang w:val="ro-RO"/>
        </w:rPr>
        <w:t>ș</w:t>
      </w:r>
      <w:r w:rsidR="00EB2556" w:rsidRPr="00275E1A">
        <w:rPr>
          <w:bCs/>
          <w:lang w:val="ro-RO"/>
        </w:rPr>
        <w:t xml:space="preserve">i lignina (200–500 °C), precum </w:t>
      </w:r>
      <w:r w:rsidR="00272BC7">
        <w:rPr>
          <w:bCs/>
          <w:lang w:val="ro-RO"/>
        </w:rPr>
        <w:t>ș</w:t>
      </w:r>
      <w:r w:rsidR="00EB2556" w:rsidRPr="00275E1A">
        <w:rPr>
          <w:bCs/>
          <w:lang w:val="ro-RO"/>
        </w:rPr>
        <w:t>i formarea scheletului</w:t>
      </w:r>
      <w:r>
        <w:rPr>
          <w:bCs/>
          <w:lang w:val="ro-RO"/>
        </w:rPr>
        <w:t xml:space="preserve"> </w:t>
      </w:r>
      <w:r w:rsidR="00EB2556" w:rsidRPr="00275E1A">
        <w:rPr>
          <w:bCs/>
          <w:lang w:val="ro-RO"/>
        </w:rPr>
        <w:t xml:space="preserve">carbonic în intervalul 500-1000 °C. </w:t>
      </w:r>
    </w:p>
    <w:p w14:paraId="4F69DEDE" w14:textId="3FADCB22" w:rsidR="00EB2556" w:rsidRPr="00275E1A" w:rsidRDefault="00EB2556" w:rsidP="00275E1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275E1A">
        <w:rPr>
          <w:bCs/>
          <w:lang w:val="ro-RO"/>
        </w:rPr>
        <w:t>Au fost stabilite condițiile optime de carbonizare,</w:t>
      </w:r>
      <w:r w:rsidR="00275E1A">
        <w:rPr>
          <w:bCs/>
          <w:lang w:val="ro-RO"/>
        </w:rPr>
        <w:t xml:space="preserve"> </w:t>
      </w:r>
      <w:r w:rsidRPr="00275E1A">
        <w:rPr>
          <w:bCs/>
          <w:lang w:val="ro-RO"/>
        </w:rPr>
        <w:t>obținându-se un randament de aproximativ 40% pentru mangalul din sâmburi de piersici.</w:t>
      </w:r>
    </w:p>
    <w:p w14:paraId="7D2B97CD" w14:textId="53ABCD43" w:rsidR="001C2727" w:rsidRPr="00275E1A" w:rsidRDefault="00275E1A" w:rsidP="00275E1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EB2556" w:rsidRPr="00EB2556">
        <w:rPr>
          <w:bCs/>
          <w:lang w:val="ro-RO"/>
        </w:rPr>
        <w:t>u fost determinate condițiile optime de activare a mangalului prin două metode: (1)</w:t>
      </w:r>
      <w:r>
        <w:rPr>
          <w:bCs/>
          <w:lang w:val="ro-RO"/>
        </w:rPr>
        <w:t xml:space="preserve"> </w:t>
      </w:r>
      <w:r w:rsidR="00EB2556" w:rsidRPr="00275E1A">
        <w:rPr>
          <w:bCs/>
          <w:lang w:val="ro-RO"/>
        </w:rPr>
        <w:t xml:space="preserve">activare cu vapori de apă în strat fluidizat (cuptor/reactor vertical) </w:t>
      </w:r>
      <w:r w:rsidR="00272BC7">
        <w:rPr>
          <w:bCs/>
          <w:lang w:val="ro-RO"/>
        </w:rPr>
        <w:t xml:space="preserve">și </w:t>
      </w:r>
      <w:r w:rsidR="00EB2556" w:rsidRPr="00275E1A">
        <w:rPr>
          <w:bCs/>
          <w:lang w:val="ro-RO"/>
        </w:rPr>
        <w:t>(2) activare clasică cu vapori de apă (cuptor/reactor orizontal).</w:t>
      </w:r>
    </w:p>
    <w:p w14:paraId="69E8EA04" w14:textId="77777777" w:rsidR="001C2727" w:rsidRDefault="001C2727" w:rsidP="001C2727">
      <w:pPr>
        <w:pStyle w:val="ListParagraph"/>
        <w:ind w:left="644"/>
        <w:jc w:val="both"/>
        <w:rPr>
          <w:bCs/>
          <w:lang w:val="ro-RO"/>
        </w:rPr>
      </w:pPr>
    </w:p>
    <w:p w14:paraId="27667C0A" w14:textId="77777777" w:rsidR="001C2727" w:rsidRDefault="001C2727" w:rsidP="001C2727">
      <w:pPr>
        <w:pStyle w:val="ListParagraph"/>
        <w:numPr>
          <w:ilvl w:val="0"/>
          <w:numId w:val="28"/>
        </w:numPr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28953DEC" w14:textId="64FA8829" w:rsidR="001C2727" w:rsidRPr="00C11A08" w:rsidRDefault="00CE0AE1" w:rsidP="001C2727">
      <w:pPr>
        <w:pStyle w:val="ListParagraph"/>
        <w:numPr>
          <w:ilvl w:val="0"/>
          <w:numId w:val="29"/>
        </w:numPr>
        <w:jc w:val="both"/>
        <w:rPr>
          <w:bCs/>
          <w:lang w:val="ro-RO"/>
        </w:rPr>
      </w:pPr>
      <w:r>
        <w:rPr>
          <w:bCs/>
          <w:lang w:val="ro-RO"/>
        </w:rPr>
        <w:t>Au fost publicate 3 teze în lucrările conferințelor internaționale</w:t>
      </w:r>
      <w:r w:rsidR="00985C2E">
        <w:rPr>
          <w:bCs/>
          <w:lang w:val="ro-RO"/>
        </w:rPr>
        <w:t>.</w:t>
      </w:r>
    </w:p>
    <w:p w14:paraId="00755051" w14:textId="6D28C84A" w:rsidR="001C2727" w:rsidRDefault="001C2727" w:rsidP="001C2727">
      <w:pPr>
        <w:pStyle w:val="ListParagraph"/>
        <w:numPr>
          <w:ilvl w:val="0"/>
          <w:numId w:val="28"/>
        </w:numPr>
        <w:ind w:left="426" w:hanging="426"/>
        <w:jc w:val="both"/>
        <w:rPr>
          <w:lang w:val="ro-RO"/>
        </w:rPr>
      </w:pPr>
      <w:r>
        <w:rPr>
          <w:bCs/>
          <w:i/>
          <w:iCs/>
          <w:lang w:val="ro-RO"/>
        </w:rPr>
        <w:lastRenderedPageBreak/>
        <w:t xml:space="preserve">Valoarea socio-economică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275E1A">
        <w:rPr>
          <w:lang w:val="ro-RO"/>
        </w:rPr>
        <w:t>foarte bine</w:t>
      </w:r>
      <w:r>
        <w:rPr>
          <w:lang w:val="ro-RO"/>
        </w:rPr>
        <w:t>”.</w:t>
      </w:r>
    </w:p>
    <w:p w14:paraId="2F96F524" w14:textId="78F088FD" w:rsidR="001C2727" w:rsidRPr="00275E1A" w:rsidRDefault="00275E1A" w:rsidP="00275E1A">
      <w:pPr>
        <w:pStyle w:val="ListParagraph"/>
        <w:numPr>
          <w:ilvl w:val="0"/>
          <w:numId w:val="29"/>
        </w:numPr>
        <w:spacing w:line="276" w:lineRule="auto"/>
        <w:jc w:val="both"/>
        <w:rPr>
          <w:lang w:val="ro-RO"/>
        </w:rPr>
      </w:pPr>
      <w:r w:rsidRPr="00275E1A">
        <w:rPr>
          <w:lang w:val="ro-RO"/>
        </w:rPr>
        <w:t xml:space="preserve">Rezultatele obținute pot contribui la reducerea dependenței de materiale importate și la promovarea unor soluții ecologice cu aplicabilitate în fotocataliză și </w:t>
      </w:r>
      <w:r>
        <w:rPr>
          <w:lang w:val="ro-RO"/>
        </w:rPr>
        <w:t>purificarea apei, ia</w:t>
      </w:r>
      <w:r w:rsidR="00074756">
        <w:rPr>
          <w:lang w:val="ro-RO"/>
        </w:rPr>
        <w:t>r</w:t>
      </w:r>
      <w:r>
        <w:rPr>
          <w:lang w:val="ro-RO"/>
        </w:rPr>
        <w:t xml:space="preserve"> </w:t>
      </w:r>
      <w:r w:rsidRPr="00275E1A">
        <w:rPr>
          <w:lang w:val="ro-RO"/>
        </w:rPr>
        <w:t>utilizarea resurselor autohtone și optimizarea proceselor de producție deschid perspective reale pentru industrializare și reducerea costurilor.</w:t>
      </w:r>
    </w:p>
    <w:p w14:paraId="4D472505" w14:textId="77777777" w:rsidR="001C2727" w:rsidRDefault="001C2727" w:rsidP="001C2727">
      <w:pPr>
        <w:pStyle w:val="ListParagraph"/>
        <w:ind w:left="644"/>
        <w:rPr>
          <w:lang w:val="ro-RO"/>
        </w:rPr>
      </w:pPr>
    </w:p>
    <w:p w14:paraId="3D6405F9" w14:textId="7D9FB711" w:rsidR="001C2727" w:rsidRDefault="001C2727" w:rsidP="001C2727">
      <w:pPr>
        <w:pStyle w:val="ListParagraph"/>
        <w:numPr>
          <w:ilvl w:val="0"/>
          <w:numId w:val="28"/>
        </w:numPr>
        <w:ind w:left="426" w:hanging="426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 w:rsidR="00275E1A">
        <w:rPr>
          <w:bCs/>
          <w:lang w:val="ro-RO"/>
        </w:rPr>
        <w:t>- ”</w:t>
      </w:r>
      <w:r>
        <w:rPr>
          <w:bCs/>
          <w:lang w:val="ro-RO"/>
        </w:rPr>
        <w:t xml:space="preserve"> </w:t>
      </w:r>
      <w:r w:rsidR="00B4513A">
        <w:rPr>
          <w:bCs/>
          <w:lang w:val="ro-RO"/>
        </w:rPr>
        <w:t xml:space="preserve">foarte </w:t>
      </w:r>
      <w:r>
        <w:rPr>
          <w:bCs/>
          <w:lang w:val="ro-RO"/>
        </w:rPr>
        <w:t>bine”.</w:t>
      </w:r>
    </w:p>
    <w:p w14:paraId="4145F8D3" w14:textId="7B5C1CE0" w:rsidR="001C2727" w:rsidRPr="00275E1A" w:rsidRDefault="001C2727" w:rsidP="00275E1A">
      <w:pPr>
        <w:pStyle w:val="ListParagraph"/>
        <w:numPr>
          <w:ilvl w:val="0"/>
          <w:numId w:val="29"/>
        </w:numPr>
        <w:jc w:val="both"/>
        <w:rPr>
          <w:lang w:val="ro-RO"/>
        </w:rPr>
      </w:pPr>
      <w:r>
        <w:rPr>
          <w:lang w:val="ro-RO"/>
        </w:rPr>
        <w:t>A fost demonstr</w:t>
      </w:r>
      <w:r w:rsidR="00275E1A">
        <w:rPr>
          <w:lang w:val="ro-RO"/>
        </w:rPr>
        <w:t xml:space="preserve">ată </w:t>
      </w:r>
      <w:r w:rsidR="00275E1A" w:rsidRPr="00275E1A">
        <w:rPr>
          <w:lang w:val="ro-RO"/>
        </w:rPr>
        <w:t>parteneriatul cu Orhei-Vit</w:t>
      </w:r>
      <w:r w:rsidR="00275E1A">
        <w:rPr>
          <w:lang w:val="ro-RO"/>
        </w:rPr>
        <w:t xml:space="preserve"> SRL pentru furnizarea materiei </w:t>
      </w:r>
      <w:r w:rsidR="00275E1A" w:rsidRPr="00275E1A">
        <w:rPr>
          <w:lang w:val="ro-RO"/>
        </w:rPr>
        <w:t>prime și cooperarea cu laboratorul de Metode fizico-chimice al Institutului de Chimie al USM (calcule cuantice).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728105DA" w:rsidR="00022581" w:rsidRPr="00F81B82" w:rsidRDefault="009C37F4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7BFF" w14:textId="77777777" w:rsidR="001A4784" w:rsidRDefault="001A4784" w:rsidP="00014779">
      <w:r>
        <w:separator/>
      </w:r>
    </w:p>
  </w:endnote>
  <w:endnote w:type="continuationSeparator" w:id="0">
    <w:p w14:paraId="2C53BB2F" w14:textId="77777777" w:rsidR="001A4784" w:rsidRDefault="001A4784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819A" w14:textId="77777777" w:rsidR="001A4784" w:rsidRDefault="001A4784" w:rsidP="00014779">
      <w:r>
        <w:separator/>
      </w:r>
    </w:p>
  </w:footnote>
  <w:footnote w:type="continuationSeparator" w:id="0">
    <w:p w14:paraId="6302FCB4" w14:textId="77777777" w:rsidR="001A4784" w:rsidRDefault="001A4784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72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4756"/>
    <w:rsid w:val="00077C2E"/>
    <w:rsid w:val="00077EFE"/>
    <w:rsid w:val="000808E3"/>
    <w:rsid w:val="000863C6"/>
    <w:rsid w:val="00087F94"/>
    <w:rsid w:val="000A1D47"/>
    <w:rsid w:val="000B6F14"/>
    <w:rsid w:val="000B727C"/>
    <w:rsid w:val="000C0AD6"/>
    <w:rsid w:val="000C1F08"/>
    <w:rsid w:val="000C35B1"/>
    <w:rsid w:val="000C4E73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5436"/>
    <w:rsid w:val="00127DF9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4784"/>
    <w:rsid w:val="001A72CF"/>
    <w:rsid w:val="001B1710"/>
    <w:rsid w:val="001B1C23"/>
    <w:rsid w:val="001C1496"/>
    <w:rsid w:val="001C2727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2BC7"/>
    <w:rsid w:val="00273347"/>
    <w:rsid w:val="00275E1A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586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3E49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362D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33E7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85C2E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7F4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4513A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1A08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AE1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3402"/>
    <w:rsid w:val="00EA52FD"/>
    <w:rsid w:val="00EB071F"/>
    <w:rsid w:val="00EB0D95"/>
    <w:rsid w:val="00EB253D"/>
    <w:rsid w:val="00EB2556"/>
    <w:rsid w:val="00EB678A"/>
    <w:rsid w:val="00EC2F71"/>
    <w:rsid w:val="00EC4FF4"/>
    <w:rsid w:val="00ED309B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513</Words>
  <Characters>2980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62</cp:revision>
  <cp:lastPrinted>2022-12-05T10:45:00Z</cp:lastPrinted>
  <dcterms:created xsi:type="dcterms:W3CDTF">2025-12-15T00:03:00Z</dcterms:created>
  <dcterms:modified xsi:type="dcterms:W3CDTF">2025-12-27T17:04:00Z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