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0D7AA0E1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0175D2">
        <w:rPr>
          <w:b/>
          <w:lang w:val="ro-RO"/>
        </w:rPr>
        <w:t xml:space="preserve">proiectul </w:t>
      </w:r>
      <w:r w:rsidR="00C63F29" w:rsidRPr="000175D2">
        <w:rPr>
          <w:b/>
          <w:lang w:val="ro-MD"/>
        </w:rPr>
        <w:t>25.80012.5007.29TC</w:t>
      </w:r>
      <w:r w:rsidR="00C63F29" w:rsidRPr="000175D2">
        <w:rPr>
          <w:b/>
          <w:lang w:val="ro-RO"/>
        </w:rPr>
        <w:t xml:space="preserve"> </w:t>
      </w:r>
      <w:r w:rsidRPr="000175D2">
        <w:rPr>
          <w:b/>
          <w:lang w:val="ro-RO"/>
        </w:rPr>
        <w:t xml:space="preserve">din cadrul </w:t>
      </w:r>
      <w:bookmarkStart w:id="0" w:name="_Hlk91045286"/>
      <w:r w:rsidR="00EB678A" w:rsidRPr="000175D2">
        <w:rPr>
          <w:b/>
          <w:lang w:val="ro-MD"/>
        </w:rPr>
        <w:t xml:space="preserve">concursului </w:t>
      </w:r>
      <w:r w:rsidR="00E777C1" w:rsidRPr="000175D2">
        <w:rPr>
          <w:b/>
          <w:lang w:val="ro-MD"/>
        </w:rPr>
        <w:t>”</w:t>
      </w:r>
      <w:r w:rsidR="005F7528" w:rsidRPr="000175D2">
        <w:rPr>
          <w:b/>
          <w:lang w:val="ro-MD"/>
        </w:rPr>
        <w:t>Tineri Cercetători</w:t>
      </w:r>
      <w:r w:rsidR="002A26BE" w:rsidRPr="000175D2">
        <w:rPr>
          <w:b/>
          <w:lang w:val="ro-MD"/>
        </w:rPr>
        <w:t xml:space="preserve"> 2025-2026</w:t>
      </w:r>
      <w:r w:rsidR="00E777C1" w:rsidRPr="000175D2">
        <w:rPr>
          <w:b/>
          <w:lang w:val="ro-MD"/>
        </w:rPr>
        <w:t>”</w:t>
      </w:r>
      <w:r w:rsidR="00BE0CB7" w:rsidRPr="000175D2">
        <w:rPr>
          <w:b/>
          <w:lang w:val="ro-RO"/>
        </w:rPr>
        <w:t xml:space="preserve">, </w:t>
      </w:r>
      <w:r w:rsidRPr="000175D2">
        <w:rPr>
          <w:b/>
          <w:lang w:val="ro-RO"/>
        </w:rPr>
        <w:t xml:space="preserve">conducătorul proiectului – </w:t>
      </w:r>
      <w:r w:rsidR="00C63F29" w:rsidRPr="000175D2">
        <w:rPr>
          <w:b/>
          <w:lang w:val="ro-MD"/>
        </w:rPr>
        <w:t>dr. Melnic Vladimir</w:t>
      </w:r>
      <w:r w:rsidR="00537088" w:rsidRPr="000175D2">
        <w:rPr>
          <w:b/>
          <w:lang w:val="ro-RO"/>
        </w:rPr>
        <w:t xml:space="preserve">, </w:t>
      </w:r>
      <w:r w:rsidR="00096ADF">
        <w:rPr>
          <w:b/>
          <w:color w:val="000000" w:themeColor="text1"/>
          <w:shd w:val="clear" w:color="auto" w:fill="FFFFFF"/>
          <w:lang w:val="ro-MD"/>
        </w:rPr>
        <w:t>Universitatea Tehnică a Moldovei</w:t>
      </w:r>
      <w:r w:rsidR="004C58EC" w:rsidRPr="000175D2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0175D2">
        <w:rPr>
          <w:b/>
          <w:lang w:val="ro-RO"/>
        </w:rPr>
        <w:t>(</w:t>
      </w:r>
      <w:r w:rsidR="00E777C1" w:rsidRPr="000175D2">
        <w:rPr>
          <w:b/>
          <w:color w:val="000000" w:themeColor="text1"/>
          <w:lang w:val="ro-MD"/>
        </w:rPr>
        <w:t xml:space="preserve">Prioritatea V: </w:t>
      </w:r>
      <w:r w:rsidR="00E777C1" w:rsidRPr="000175D2">
        <w:rPr>
          <w:b/>
          <w:lang w:val="ro-MD"/>
        </w:rPr>
        <w:t>Tehnologii inovative, energie sustenabilă, digitalizare</w:t>
      </w:r>
      <w:r w:rsidR="00EB678A" w:rsidRPr="000175D2">
        <w:rPr>
          <w:b/>
          <w:lang w:val="ro-MD"/>
        </w:rPr>
        <w:t>)</w:t>
      </w:r>
      <w:r w:rsidRPr="000175D2">
        <w:rPr>
          <w:b/>
          <w:lang w:val="ro-RO"/>
        </w:rPr>
        <w:t>, perfectat în baza audierii raportului științific anual al implementării</w:t>
      </w:r>
      <w:r w:rsidRPr="00F24D65">
        <w:rPr>
          <w:b/>
          <w:lang w:val="ro-RO"/>
        </w:rPr>
        <w:t xml:space="preserve">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67DDC844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C63F29" w:rsidRPr="003129A5">
        <w:rPr>
          <w:lang w:val="ro-MD"/>
        </w:rPr>
        <w:t>Cercetarea și sinteza algoritmilor de control al atitudinii nanosateliților prin magnetorqueri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C63F29">
        <w:rPr>
          <w:lang w:val="ro-MD"/>
        </w:rPr>
        <w:t>d</w:t>
      </w:r>
      <w:r w:rsidR="00C63F29" w:rsidRPr="003129A5">
        <w:rPr>
          <w:lang w:val="ro-MD"/>
        </w:rPr>
        <w:t>r. Melnic Vladimir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BD4ED5">
      <w:pPr>
        <w:spacing w:line="252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13656500" w:rsidR="00186652" w:rsidRPr="00416E8C" w:rsidRDefault="00186652" w:rsidP="00BD4ED5">
      <w:pPr>
        <w:spacing w:line="252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6673A2">
        <w:rPr>
          <w:rFonts w:eastAsia="Calibri"/>
          <w:lang w:val="ro-RO" w:eastAsia="en-US"/>
        </w:rPr>
        <w:t>5</w:t>
      </w:r>
      <w:r w:rsidR="0028394A">
        <w:rPr>
          <w:rFonts w:eastAsia="Calibri"/>
          <w:lang w:val="ro-RO" w:eastAsia="en-US"/>
        </w:rPr>
        <w:t>,</w:t>
      </w:r>
      <w:r w:rsidR="006673A2">
        <w:rPr>
          <w:rFonts w:eastAsia="Calibri"/>
          <w:lang w:val="ro-RO" w:eastAsia="en-US"/>
        </w:rPr>
        <w:t>2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BD4ED5">
      <w:pPr>
        <w:spacing w:line="252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BD4ED5">
      <w:pPr>
        <w:spacing w:line="252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BD4ED5">
      <w:pPr>
        <w:spacing w:line="252" w:lineRule="auto"/>
        <w:jc w:val="both"/>
        <w:rPr>
          <w:b/>
          <w:lang w:val="ro-RO"/>
        </w:rPr>
      </w:pPr>
    </w:p>
    <w:p w14:paraId="49941D62" w14:textId="77777777" w:rsidR="00186652" w:rsidRPr="007D7D25" w:rsidRDefault="00823299" w:rsidP="00BD4ED5">
      <w:pPr>
        <w:pStyle w:val="ListParagraph"/>
        <w:numPr>
          <w:ilvl w:val="0"/>
          <w:numId w:val="26"/>
        </w:numPr>
        <w:spacing w:line="264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50124C65" w14:textId="77777777" w:rsidR="00632502" w:rsidRPr="00632502" w:rsidRDefault="00632502" w:rsidP="00BD4ED5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În rezultatul</w:t>
      </w:r>
      <w:r w:rsidRPr="00632502">
        <w:rPr>
          <w:lang w:val="ro-RO"/>
        </w:rPr>
        <w:t xml:space="preserve"> analiz</w:t>
      </w:r>
      <w:r>
        <w:rPr>
          <w:lang w:val="ro-RO"/>
        </w:rPr>
        <w:t>ei</w:t>
      </w:r>
      <w:r w:rsidRPr="00632502">
        <w:rPr>
          <w:lang w:val="ro-RO"/>
        </w:rPr>
        <w:t xml:space="preserve"> principiil</w:t>
      </w:r>
      <w:r>
        <w:rPr>
          <w:lang w:val="ro-RO"/>
        </w:rPr>
        <w:t>or</w:t>
      </w:r>
      <w:r w:rsidRPr="00632502">
        <w:rPr>
          <w:lang w:val="ro-RO"/>
        </w:rPr>
        <w:t xml:space="preserve"> de func</w:t>
      </w:r>
      <w:r>
        <w:rPr>
          <w:lang w:val="ro-RO"/>
        </w:rPr>
        <w:t>ț</w:t>
      </w:r>
      <w:r w:rsidRPr="00632502">
        <w:rPr>
          <w:lang w:val="ro-RO"/>
        </w:rPr>
        <w:t xml:space="preserve">ionare ale magnetorquer-ilor </w:t>
      </w:r>
      <w:r>
        <w:rPr>
          <w:lang w:val="ro-RO"/>
        </w:rPr>
        <w:t>ș</w:t>
      </w:r>
      <w:r w:rsidRPr="00632502">
        <w:rPr>
          <w:lang w:val="ro-RO"/>
        </w:rPr>
        <w:t>i metodel</w:t>
      </w:r>
      <w:r>
        <w:rPr>
          <w:lang w:val="ro-RO"/>
        </w:rPr>
        <w:t>or</w:t>
      </w:r>
      <w:r w:rsidRPr="00632502">
        <w:rPr>
          <w:lang w:val="ro-RO"/>
        </w:rPr>
        <w:t xml:space="preserve"> de control al atitudinii nanosateli</w:t>
      </w:r>
      <w:r>
        <w:rPr>
          <w:lang w:val="ro-RO"/>
        </w:rPr>
        <w:t>ț</w:t>
      </w:r>
      <w:r w:rsidRPr="00632502">
        <w:rPr>
          <w:lang w:val="ro-RO"/>
        </w:rPr>
        <w:t>ilor</w:t>
      </w:r>
      <w:r>
        <w:rPr>
          <w:lang w:val="ro-RO"/>
        </w:rPr>
        <w:t xml:space="preserve"> au fost </w:t>
      </w:r>
      <w:r w:rsidRPr="00632502">
        <w:rPr>
          <w:lang w:val="ro-RO"/>
        </w:rPr>
        <w:t>identificate restric</w:t>
      </w:r>
      <w:r>
        <w:rPr>
          <w:lang w:val="ro-RO"/>
        </w:rPr>
        <w:t>ț</w:t>
      </w:r>
      <w:r w:rsidRPr="00632502">
        <w:rPr>
          <w:lang w:val="ro-RO"/>
        </w:rPr>
        <w:t xml:space="preserve">iile critice impuse de mediul orbital, consumul energetic </w:t>
      </w:r>
      <w:r>
        <w:rPr>
          <w:lang w:val="ro-RO"/>
        </w:rPr>
        <w:t>ș</w:t>
      </w:r>
      <w:r w:rsidRPr="00632502">
        <w:rPr>
          <w:lang w:val="ro-RO"/>
        </w:rPr>
        <w:t xml:space="preserve">i geometria CubeSat-ului. </w:t>
      </w:r>
    </w:p>
    <w:p w14:paraId="09D9F3B1" w14:textId="77777777" w:rsidR="00A45FB8" w:rsidRPr="00A45FB8" w:rsidRDefault="00632502" w:rsidP="00BD4ED5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 w:rsidRPr="00632502">
        <w:rPr>
          <w:lang w:val="ro-RO"/>
        </w:rPr>
        <w:t>Pe baza</w:t>
      </w:r>
      <w:r>
        <w:rPr>
          <w:lang w:val="ro-RO"/>
        </w:rPr>
        <w:t xml:space="preserve"> </w:t>
      </w:r>
      <w:r w:rsidRPr="00632502">
        <w:rPr>
          <w:lang w:val="ro-RO"/>
        </w:rPr>
        <w:t>acestor analize au fost stabilite cerin</w:t>
      </w:r>
      <w:r w:rsidR="00A45FB8">
        <w:rPr>
          <w:lang w:val="ro-RO"/>
        </w:rPr>
        <w:t>ț</w:t>
      </w:r>
      <w:r w:rsidRPr="00632502">
        <w:rPr>
          <w:lang w:val="ro-RO"/>
        </w:rPr>
        <w:t xml:space="preserve">ele pentru algoritmii de control </w:t>
      </w:r>
      <w:r w:rsidR="00A45FB8">
        <w:rPr>
          <w:lang w:val="ro-RO"/>
        </w:rPr>
        <w:t>ș</w:t>
      </w:r>
      <w:r w:rsidRPr="00632502">
        <w:rPr>
          <w:lang w:val="ro-RO"/>
        </w:rPr>
        <w:t>i pentru arhitectura electronic</w:t>
      </w:r>
      <w:r w:rsidR="00A45FB8">
        <w:rPr>
          <w:lang w:val="ro-RO"/>
        </w:rPr>
        <w:t>ă</w:t>
      </w:r>
      <w:r w:rsidRPr="00632502">
        <w:rPr>
          <w:lang w:val="ro-RO"/>
        </w:rPr>
        <w:t>.</w:t>
      </w:r>
    </w:p>
    <w:p w14:paraId="332DC0DE" w14:textId="45F6521A" w:rsidR="00A45FB8" w:rsidRPr="003A5753" w:rsidRDefault="00A45FB8" w:rsidP="00BD4ED5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Î</w:t>
      </w:r>
      <w:r w:rsidR="00632502" w:rsidRPr="00632502">
        <w:rPr>
          <w:lang w:val="ro-RO"/>
        </w:rPr>
        <w:t>n cadrul proiect</w:t>
      </w:r>
      <w:r>
        <w:rPr>
          <w:lang w:val="ro-RO"/>
        </w:rPr>
        <w:t>ă</w:t>
      </w:r>
      <w:r w:rsidR="00632502" w:rsidRPr="00632502">
        <w:rPr>
          <w:lang w:val="ro-RO"/>
        </w:rPr>
        <w:t>rii hardware au fost dezvoltate magnetorquere miniaturizate compatibile cu standardul CubeSat 2U.</w:t>
      </w:r>
    </w:p>
    <w:p w14:paraId="48A5B215" w14:textId="2FE1DD35" w:rsidR="003A5753" w:rsidRPr="003A5753" w:rsidRDefault="003A5753" w:rsidP="00BD4ED5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 w:rsidRPr="003A5753">
        <w:rPr>
          <w:lang w:val="ro-RO"/>
        </w:rPr>
        <w:t>A fost dezvoltată arhitectura electronică a modulului de acționare, care integrează senzori magnetici și inerțiali, un convertor analog-digital de înaltă precizie, un microcontroler și un driver in punte pentru controlul curentului in bobine.</w:t>
      </w:r>
    </w:p>
    <w:p w14:paraId="63DD497E" w14:textId="00068029" w:rsidR="00663986" w:rsidRPr="000D25E6" w:rsidRDefault="003A5753" w:rsidP="00BD4ED5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 w:rsidRPr="003A5753">
        <w:rPr>
          <w:lang w:val="ro-RO"/>
        </w:rPr>
        <w:t>A fost elaborat</w:t>
      </w:r>
      <w:r>
        <w:rPr>
          <w:lang w:val="ro-RO"/>
        </w:rPr>
        <w:t>ă</w:t>
      </w:r>
      <w:r w:rsidRPr="003A5753">
        <w:rPr>
          <w:lang w:val="ro-RO"/>
        </w:rPr>
        <w:t xml:space="preserve"> arhitectura software a sistemului de control, structurat</w:t>
      </w:r>
      <w:r w:rsidR="000D25E6">
        <w:rPr>
          <w:lang w:val="ro-RO"/>
        </w:rPr>
        <w:t>ă</w:t>
      </w:r>
      <w:r w:rsidRPr="003A5753">
        <w:rPr>
          <w:lang w:val="ro-RO"/>
        </w:rPr>
        <w:t xml:space="preserve"> modular </w:t>
      </w:r>
      <w:r w:rsidR="000D25E6">
        <w:rPr>
          <w:lang w:val="ro-RO"/>
        </w:rPr>
        <w:t>ș</w:t>
      </w:r>
      <w:r w:rsidRPr="003A5753">
        <w:rPr>
          <w:lang w:val="ro-RO"/>
        </w:rPr>
        <w:t>i orientat</w:t>
      </w:r>
      <w:r w:rsidR="000D25E6">
        <w:rPr>
          <w:lang w:val="ro-RO"/>
        </w:rPr>
        <w:t>ă</w:t>
      </w:r>
      <w:r w:rsidRPr="003A5753">
        <w:rPr>
          <w:lang w:val="ro-RO"/>
        </w:rPr>
        <w:t xml:space="preserve"> pe func</w:t>
      </w:r>
      <w:r w:rsidR="000D25E6">
        <w:rPr>
          <w:lang w:val="ro-RO"/>
        </w:rPr>
        <w:t>ț</w:t>
      </w:r>
      <w:r w:rsidRPr="003A5753">
        <w:rPr>
          <w:lang w:val="ro-RO"/>
        </w:rPr>
        <w:t>ionalit</w:t>
      </w:r>
      <w:r w:rsidR="000D25E6">
        <w:rPr>
          <w:lang w:val="ro-RO"/>
        </w:rPr>
        <w:t>ăți.</w:t>
      </w:r>
    </w:p>
    <w:p w14:paraId="3B5956F1" w14:textId="77777777" w:rsidR="00DF5EDE" w:rsidRPr="00700370" w:rsidRDefault="00DF5EDE" w:rsidP="00BD4ED5">
      <w:pPr>
        <w:pStyle w:val="ListParagraph"/>
        <w:spacing w:line="264" w:lineRule="auto"/>
        <w:ind w:left="644"/>
        <w:jc w:val="both"/>
        <w:rPr>
          <w:bCs/>
          <w:lang w:val="ro-RO"/>
        </w:rPr>
      </w:pPr>
    </w:p>
    <w:p w14:paraId="6D69322A" w14:textId="1BF615C1" w:rsidR="00186652" w:rsidRPr="002E07C2" w:rsidRDefault="00186652" w:rsidP="00BD4ED5">
      <w:pPr>
        <w:pStyle w:val="ListParagraph"/>
        <w:numPr>
          <w:ilvl w:val="0"/>
          <w:numId w:val="26"/>
        </w:numPr>
        <w:spacing w:line="264" w:lineRule="auto"/>
        <w:ind w:left="284" w:hanging="284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A7519D">
        <w:rPr>
          <w:lang w:val="ro-RO"/>
        </w:rPr>
        <w:t>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56397A63" w:rsidR="001E0D55" w:rsidRDefault="00C441C2" w:rsidP="00BD4ED5">
      <w:pPr>
        <w:pStyle w:val="ListParagraph"/>
        <w:numPr>
          <w:ilvl w:val="0"/>
          <w:numId w:val="27"/>
        </w:numPr>
        <w:spacing w:line="264" w:lineRule="auto"/>
        <w:jc w:val="both"/>
        <w:rPr>
          <w:bCs/>
          <w:lang w:val="ro-RO"/>
        </w:rPr>
      </w:pPr>
      <w:r>
        <w:rPr>
          <w:bCs/>
          <w:lang w:val="ro-RO"/>
        </w:rPr>
        <w:t>Nu sunt specificate lucrări publicate</w:t>
      </w:r>
      <w:r w:rsidR="00D370B9">
        <w:rPr>
          <w:bCs/>
          <w:lang w:val="ro-RO"/>
        </w:rPr>
        <w:t>.</w:t>
      </w:r>
    </w:p>
    <w:p w14:paraId="76191DF9" w14:textId="4C217409" w:rsidR="007445CF" w:rsidRPr="007445CF" w:rsidRDefault="007445CF" w:rsidP="00BD4ED5">
      <w:pPr>
        <w:pStyle w:val="ListParagraph"/>
        <w:numPr>
          <w:ilvl w:val="0"/>
          <w:numId w:val="27"/>
        </w:numPr>
        <w:spacing w:line="264" w:lineRule="auto"/>
        <w:jc w:val="both"/>
        <w:rPr>
          <w:bCs/>
          <w:lang w:val="ro-RO"/>
        </w:rPr>
      </w:pPr>
      <w:r w:rsidRPr="007445CF">
        <w:rPr>
          <w:lang w:val="ro-RO"/>
        </w:rPr>
        <w:t>Diseminarea rezultatelor cercet</w:t>
      </w:r>
      <w:r>
        <w:rPr>
          <w:lang w:val="ro-RO"/>
        </w:rPr>
        <w:t>ă</w:t>
      </w:r>
      <w:r w:rsidRPr="007445CF">
        <w:rPr>
          <w:lang w:val="ro-RO"/>
        </w:rPr>
        <w:t>rii a fost realizat cu ocazia evenimentului Noaptea cercet</w:t>
      </w:r>
      <w:r>
        <w:rPr>
          <w:lang w:val="ro-RO"/>
        </w:rPr>
        <w:t>ă</w:t>
      </w:r>
      <w:r w:rsidRPr="007445CF">
        <w:rPr>
          <w:lang w:val="ro-RO"/>
        </w:rPr>
        <w:t>orilor Europeni la Universitatea Tehnic</w:t>
      </w:r>
      <w:r>
        <w:rPr>
          <w:lang w:val="ro-RO"/>
        </w:rPr>
        <w:t>ă</w:t>
      </w:r>
      <w:r w:rsidRPr="007445CF">
        <w:rPr>
          <w:lang w:val="ro-RO"/>
        </w:rPr>
        <w:t xml:space="preserve"> a Moldovei</w:t>
      </w:r>
      <w:r>
        <w:rPr>
          <w:lang w:val="ro-RO"/>
        </w:rPr>
        <w:t>.</w:t>
      </w:r>
    </w:p>
    <w:p w14:paraId="2DA2832B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4E8ECDC8" w14:textId="40DC71DB" w:rsidR="00186652" w:rsidRPr="009E481F" w:rsidRDefault="00186652" w:rsidP="009E481F">
      <w:pPr>
        <w:pStyle w:val="ListParagraph"/>
        <w:numPr>
          <w:ilvl w:val="0"/>
          <w:numId w:val="26"/>
        </w:numPr>
        <w:ind w:left="426" w:hanging="426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lastRenderedPageBreak/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6A691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0E8D4C57" w:rsidR="000D70E4" w:rsidRPr="0016151E" w:rsidRDefault="0016151E" w:rsidP="000D70E4">
      <w:pPr>
        <w:pStyle w:val="ListParagraph"/>
        <w:numPr>
          <w:ilvl w:val="0"/>
          <w:numId w:val="27"/>
        </w:numPr>
        <w:rPr>
          <w:lang w:val="ro-RO"/>
        </w:rPr>
      </w:pPr>
      <w:r w:rsidRPr="0016151E">
        <w:rPr>
          <w:lang w:val="ro-RO"/>
        </w:rPr>
        <w:t>Din perspectiv</w:t>
      </w:r>
      <w:r>
        <w:rPr>
          <w:lang w:val="ro-RO"/>
        </w:rPr>
        <w:t>ă</w:t>
      </w:r>
      <w:r w:rsidRPr="0016151E">
        <w:rPr>
          <w:lang w:val="ro-RO"/>
        </w:rPr>
        <w:t xml:space="preserve"> economica, r</w:t>
      </w:r>
      <w:r>
        <w:rPr>
          <w:lang w:val="ro-RO"/>
        </w:rPr>
        <w:t>e</w:t>
      </w:r>
      <w:r w:rsidRPr="0016151E">
        <w:rPr>
          <w:lang w:val="ro-RO"/>
        </w:rPr>
        <w:t>alizarea</w:t>
      </w:r>
      <w:r>
        <w:rPr>
          <w:lang w:val="ro-RO"/>
        </w:rPr>
        <w:t xml:space="preserve"> </w:t>
      </w:r>
      <w:r w:rsidRPr="0016151E">
        <w:rPr>
          <w:lang w:val="ro-RO"/>
        </w:rPr>
        <w:t>prototipului la nivel local reduce dependen</w:t>
      </w:r>
      <w:r>
        <w:rPr>
          <w:lang w:val="ro-RO"/>
        </w:rPr>
        <w:t>ț</w:t>
      </w:r>
      <w:r w:rsidRPr="0016151E">
        <w:rPr>
          <w:lang w:val="ro-RO"/>
        </w:rPr>
        <w:t xml:space="preserve">a de componente comerciale costisitoare </w:t>
      </w:r>
      <w:r>
        <w:rPr>
          <w:lang w:val="ro-RO"/>
        </w:rPr>
        <w:t>ș</w:t>
      </w:r>
      <w:r w:rsidRPr="0016151E">
        <w:rPr>
          <w:lang w:val="ro-RO"/>
        </w:rPr>
        <w:t>i favorizeaz</w:t>
      </w:r>
      <w:r>
        <w:rPr>
          <w:lang w:val="ro-RO"/>
        </w:rPr>
        <w:t>ă</w:t>
      </w:r>
      <w:r w:rsidRPr="0016151E">
        <w:rPr>
          <w:lang w:val="ro-RO"/>
        </w:rPr>
        <w:t xml:space="preserve"> dezvoltarea unor solu</w:t>
      </w:r>
      <w:r>
        <w:rPr>
          <w:lang w:val="ro-RO"/>
        </w:rPr>
        <w:t>ț</w:t>
      </w:r>
      <w:r w:rsidRPr="0016151E">
        <w:rPr>
          <w:lang w:val="ro-RO"/>
        </w:rPr>
        <w:t>ii spa</w:t>
      </w:r>
      <w:r>
        <w:rPr>
          <w:lang w:val="ro-RO"/>
        </w:rPr>
        <w:t>ți</w:t>
      </w:r>
      <w:r w:rsidRPr="0016151E">
        <w:rPr>
          <w:lang w:val="ro-RO"/>
        </w:rPr>
        <w:t>ale mai accesibile</w:t>
      </w:r>
      <w:r>
        <w:rPr>
          <w:lang w:val="ro-RO"/>
        </w:rPr>
        <w:t xml:space="preserve">. </w:t>
      </w:r>
      <w:r w:rsidRPr="0016151E">
        <w:rPr>
          <w:lang w:val="ro-RO"/>
        </w:rPr>
        <w:t>Experien</w:t>
      </w:r>
      <w:r>
        <w:rPr>
          <w:lang w:val="ro-RO"/>
        </w:rPr>
        <w:t>ț</w:t>
      </w:r>
      <w:r w:rsidRPr="0016151E">
        <w:rPr>
          <w:lang w:val="ro-RO"/>
        </w:rPr>
        <w:t>a acumulat</w:t>
      </w:r>
      <w:r>
        <w:rPr>
          <w:lang w:val="ro-RO"/>
        </w:rPr>
        <w:t>ă</w:t>
      </w:r>
      <w:r w:rsidRPr="0016151E">
        <w:rPr>
          <w:lang w:val="ro-RO"/>
        </w:rPr>
        <w:t xml:space="preserve"> poate contribui la cre</w:t>
      </w:r>
      <w:r>
        <w:rPr>
          <w:lang w:val="ro-RO"/>
        </w:rPr>
        <w:t>ș</w:t>
      </w:r>
      <w:r w:rsidRPr="0016151E">
        <w:rPr>
          <w:lang w:val="ro-RO"/>
        </w:rPr>
        <w:t>terea poten</w:t>
      </w:r>
      <w:r>
        <w:rPr>
          <w:lang w:val="ro-RO"/>
        </w:rPr>
        <w:t>ți</w:t>
      </w:r>
      <w:r w:rsidRPr="0016151E">
        <w:rPr>
          <w:lang w:val="ro-RO"/>
        </w:rPr>
        <w:t>alul</w:t>
      </w:r>
      <w:r>
        <w:rPr>
          <w:lang w:val="ro-RO"/>
        </w:rPr>
        <w:t>ui</w:t>
      </w:r>
      <w:r w:rsidRPr="0016151E">
        <w:rPr>
          <w:lang w:val="ro-RO"/>
        </w:rPr>
        <w:t xml:space="preserve"> de inovare in domeniul tehnologiilor spa</w:t>
      </w:r>
      <w:r>
        <w:rPr>
          <w:lang w:val="ro-RO"/>
        </w:rPr>
        <w:t>ț</w:t>
      </w:r>
      <w:r w:rsidRPr="0016151E">
        <w:rPr>
          <w:lang w:val="ro-RO"/>
        </w:rPr>
        <w:t>iale.</w:t>
      </w:r>
    </w:p>
    <w:p w14:paraId="61554FB3" w14:textId="77777777" w:rsidR="00577DCB" w:rsidRPr="0016151E" w:rsidRDefault="00577DCB" w:rsidP="00577DCB">
      <w:pPr>
        <w:pStyle w:val="ListParagraph"/>
        <w:ind w:left="644"/>
        <w:rPr>
          <w:lang w:val="ro-RO"/>
        </w:rPr>
      </w:pPr>
    </w:p>
    <w:p w14:paraId="20DF5FF2" w14:textId="77777777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47E94387" w:rsidR="00577DCB" w:rsidRPr="00B521A3" w:rsidRDefault="00C438FF" w:rsidP="00750A16">
      <w:pPr>
        <w:pStyle w:val="ListParagraph"/>
        <w:numPr>
          <w:ilvl w:val="0"/>
          <w:numId w:val="27"/>
        </w:numPr>
        <w:jc w:val="both"/>
        <w:rPr>
          <w:lang w:val="ro-RO"/>
        </w:rPr>
      </w:pPr>
      <w:r w:rsidRPr="00B521A3">
        <w:rPr>
          <w:lang w:val="ro-RO"/>
        </w:rPr>
        <w:t>La nivel interna</w:t>
      </w:r>
      <w:r w:rsidR="00B521A3">
        <w:rPr>
          <w:lang w:val="ro-RO"/>
        </w:rPr>
        <w:t>ț</w:t>
      </w:r>
      <w:r w:rsidRPr="00B521A3">
        <w:rPr>
          <w:lang w:val="ro-RO"/>
        </w:rPr>
        <w:t xml:space="preserve">ional, </w:t>
      </w:r>
      <w:r w:rsidR="00B521A3">
        <w:rPr>
          <w:lang w:val="ro-RO"/>
        </w:rPr>
        <w:t>s-a</w:t>
      </w:r>
      <w:r w:rsidRPr="00B521A3">
        <w:rPr>
          <w:lang w:val="ro-RO"/>
        </w:rPr>
        <w:t xml:space="preserve"> colabor</w:t>
      </w:r>
      <w:r w:rsidR="00B521A3">
        <w:rPr>
          <w:lang w:val="ro-RO"/>
        </w:rPr>
        <w:t>at</w:t>
      </w:r>
      <w:r w:rsidRPr="00B521A3">
        <w:rPr>
          <w:lang w:val="ro-RO"/>
        </w:rPr>
        <w:t xml:space="preserve"> cu Romanian InSpace Engineering (RISE) </w:t>
      </w:r>
      <w:r w:rsidR="00B521A3">
        <w:rPr>
          <w:lang w:val="ro-RO"/>
        </w:rPr>
        <w:t>ș</w:t>
      </w:r>
      <w:r w:rsidRPr="00B521A3">
        <w:rPr>
          <w:lang w:val="ro-RO"/>
        </w:rPr>
        <w:t xml:space="preserve">i cu Institutul de Cercetare </w:t>
      </w:r>
      <w:r w:rsidR="00B521A3">
        <w:rPr>
          <w:lang w:val="ro-RO"/>
        </w:rPr>
        <w:t>ș</w:t>
      </w:r>
      <w:r w:rsidRPr="00B521A3">
        <w:rPr>
          <w:lang w:val="ro-RO"/>
        </w:rPr>
        <w:t>i Dezvoltare al Universit</w:t>
      </w:r>
      <w:r w:rsidR="00B521A3">
        <w:rPr>
          <w:lang w:val="ro-RO"/>
        </w:rPr>
        <w:t>ăț</w:t>
      </w:r>
      <w:r w:rsidRPr="00B521A3">
        <w:rPr>
          <w:lang w:val="ro-RO"/>
        </w:rPr>
        <w:t>ii Transilvania din Bra</w:t>
      </w:r>
      <w:r w:rsidR="00B521A3">
        <w:rPr>
          <w:lang w:val="ro-RO"/>
        </w:rPr>
        <w:t>ș</w:t>
      </w:r>
      <w:r w:rsidRPr="00B521A3">
        <w:rPr>
          <w:lang w:val="ro-RO"/>
        </w:rPr>
        <w:t>ov, incluz</w:t>
      </w:r>
      <w:r w:rsidR="00B521A3">
        <w:rPr>
          <w:lang w:val="ro-RO"/>
        </w:rPr>
        <w:t>â</w:t>
      </w:r>
      <w:r w:rsidRPr="00B521A3">
        <w:rPr>
          <w:lang w:val="ro-RO"/>
        </w:rPr>
        <w:t xml:space="preserve">nd vizite tehnice </w:t>
      </w:r>
      <w:r w:rsidR="00B521A3">
        <w:rPr>
          <w:lang w:val="ro-RO"/>
        </w:rPr>
        <w:t>ș</w:t>
      </w:r>
      <w:r w:rsidRPr="00B521A3">
        <w:rPr>
          <w:lang w:val="ro-RO"/>
        </w:rPr>
        <w:t>i schimb de experien</w:t>
      </w:r>
      <w:r w:rsidR="00B521A3">
        <w:rPr>
          <w:lang w:val="ro-RO"/>
        </w:rPr>
        <w:t>ță</w:t>
      </w:r>
      <w:r w:rsidRPr="00B521A3">
        <w:rPr>
          <w:lang w:val="ro-RO"/>
        </w:rPr>
        <w:t xml:space="preserve"> in domeniul sistemelor satelitare </w:t>
      </w:r>
      <w:r w:rsidR="00B521A3">
        <w:rPr>
          <w:lang w:val="ro-RO"/>
        </w:rPr>
        <w:t>ș</w:t>
      </w:r>
      <w:r w:rsidRPr="00B521A3">
        <w:rPr>
          <w:lang w:val="ro-RO"/>
        </w:rPr>
        <w:t>i al prototip</w:t>
      </w:r>
      <w:r w:rsidR="00B521A3">
        <w:rPr>
          <w:lang w:val="ro-RO"/>
        </w:rPr>
        <w:t>ă</w:t>
      </w:r>
      <w:r w:rsidRPr="00B521A3">
        <w:rPr>
          <w:lang w:val="ro-RO"/>
        </w:rPr>
        <w:t>rii.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419ECB90" w:rsidR="00022581" w:rsidRPr="00F81B82" w:rsidRDefault="00FE6925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835B" w14:textId="77777777" w:rsidR="00E3531B" w:rsidRDefault="00E3531B" w:rsidP="00014779">
      <w:r>
        <w:separator/>
      </w:r>
    </w:p>
  </w:endnote>
  <w:endnote w:type="continuationSeparator" w:id="0">
    <w:p w14:paraId="23D11ED9" w14:textId="77777777" w:rsidR="00E3531B" w:rsidRDefault="00E3531B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F94B" w14:textId="77777777" w:rsidR="00E3531B" w:rsidRDefault="00E3531B" w:rsidP="00014779">
      <w:r>
        <w:separator/>
      </w:r>
    </w:p>
  </w:footnote>
  <w:footnote w:type="continuationSeparator" w:id="0">
    <w:p w14:paraId="04E62E9F" w14:textId="77777777" w:rsidR="00E3531B" w:rsidRDefault="00E3531B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175D2"/>
    <w:rsid w:val="000175F1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96ADF"/>
    <w:rsid w:val="000B6F14"/>
    <w:rsid w:val="000B727C"/>
    <w:rsid w:val="000C0AD6"/>
    <w:rsid w:val="000C1F08"/>
    <w:rsid w:val="000C35B1"/>
    <w:rsid w:val="000C4F09"/>
    <w:rsid w:val="000D0090"/>
    <w:rsid w:val="000D25E6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5482"/>
    <w:rsid w:val="00116AB3"/>
    <w:rsid w:val="00121119"/>
    <w:rsid w:val="001250BD"/>
    <w:rsid w:val="00127EB8"/>
    <w:rsid w:val="00131ED7"/>
    <w:rsid w:val="00135D3E"/>
    <w:rsid w:val="00136970"/>
    <w:rsid w:val="00137AAC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151E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34C3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5753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56A83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29F0"/>
    <w:rsid w:val="005F31A1"/>
    <w:rsid w:val="005F3965"/>
    <w:rsid w:val="005F5B17"/>
    <w:rsid w:val="005F7528"/>
    <w:rsid w:val="006024D5"/>
    <w:rsid w:val="006060D1"/>
    <w:rsid w:val="00606D01"/>
    <w:rsid w:val="006072B6"/>
    <w:rsid w:val="00611C76"/>
    <w:rsid w:val="00612A98"/>
    <w:rsid w:val="0061721F"/>
    <w:rsid w:val="00623CA7"/>
    <w:rsid w:val="00624EA8"/>
    <w:rsid w:val="00631BEB"/>
    <w:rsid w:val="00632502"/>
    <w:rsid w:val="00632A39"/>
    <w:rsid w:val="0063603A"/>
    <w:rsid w:val="00641394"/>
    <w:rsid w:val="00642E8F"/>
    <w:rsid w:val="00646CFA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673A2"/>
    <w:rsid w:val="006703B8"/>
    <w:rsid w:val="00670A9B"/>
    <w:rsid w:val="0067219F"/>
    <w:rsid w:val="00672251"/>
    <w:rsid w:val="0067260A"/>
    <w:rsid w:val="00673511"/>
    <w:rsid w:val="0069605F"/>
    <w:rsid w:val="00697611"/>
    <w:rsid w:val="006A691C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445CF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94971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15D"/>
    <w:rsid w:val="00A43E99"/>
    <w:rsid w:val="00A45FB8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19D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1A3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D4ED5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38FF"/>
    <w:rsid w:val="00C441C2"/>
    <w:rsid w:val="00C446E1"/>
    <w:rsid w:val="00C455D8"/>
    <w:rsid w:val="00C55F33"/>
    <w:rsid w:val="00C56964"/>
    <w:rsid w:val="00C60810"/>
    <w:rsid w:val="00C60A98"/>
    <w:rsid w:val="00C63F29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2BBA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38AF"/>
    <w:rsid w:val="00E05E6E"/>
    <w:rsid w:val="00E07361"/>
    <w:rsid w:val="00E07F22"/>
    <w:rsid w:val="00E1273F"/>
    <w:rsid w:val="00E156D6"/>
    <w:rsid w:val="00E175A0"/>
    <w:rsid w:val="00E31845"/>
    <w:rsid w:val="00E32CB9"/>
    <w:rsid w:val="00E3531B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E6925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518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93</cp:revision>
  <cp:lastPrinted>2022-12-05T10:45:00Z</cp:lastPrinted>
  <dcterms:created xsi:type="dcterms:W3CDTF">2025-12-14T23:43:00Z</dcterms:created>
  <dcterms:modified xsi:type="dcterms:W3CDTF">2025-12-21T20:26:00Z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