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D0" w:rsidRDefault="007D1CD0" w:rsidP="007D1CD0">
      <w:pPr>
        <w:spacing w:before="76" w:line="374" w:lineRule="auto"/>
        <w:ind w:left="1279" w:firstLine="7345"/>
        <w:rPr>
          <w:sz w:val="24"/>
        </w:rPr>
      </w:pPr>
      <w:r>
        <w:rPr>
          <w:spacing w:val="-6"/>
          <w:sz w:val="24"/>
        </w:rPr>
        <w:t>Anexa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nr.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1 </w:t>
      </w:r>
      <w:r>
        <w:rPr>
          <w:b/>
          <w:sz w:val="24"/>
        </w:rPr>
        <w:t>Rezumatul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activității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și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rezultatelor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obținute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în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subprogram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în anul 2024</w:t>
      </w:r>
    </w:p>
    <w:p w:rsidR="007D1CD0" w:rsidRDefault="007D1CD0" w:rsidP="007D1CD0">
      <w:pPr>
        <w:tabs>
          <w:tab w:val="left" w:pos="3744"/>
          <w:tab w:val="center" w:pos="4978"/>
        </w:tabs>
        <w:spacing w:before="46"/>
        <w:ind w:left="415" w:right="375"/>
        <w:jc w:val="center"/>
        <w:rPr>
          <w:i/>
          <w:spacing w:val="-2"/>
          <w:sz w:val="20"/>
        </w:rPr>
      </w:pPr>
      <w:r>
        <w:rPr>
          <w:b/>
          <w:u w:val="single"/>
        </w:rPr>
        <w:t>„Managementul durabil al productivității solului în condiții încălzirii globale”</w:t>
      </w:r>
    </w:p>
    <w:p w:rsidR="007D1CD0" w:rsidRDefault="007D1CD0" w:rsidP="007D1CD0">
      <w:pPr>
        <w:tabs>
          <w:tab w:val="left" w:pos="3744"/>
          <w:tab w:val="center" w:pos="4978"/>
        </w:tabs>
        <w:spacing w:before="46"/>
        <w:ind w:left="415" w:right="375"/>
        <w:rPr>
          <w:i/>
          <w:sz w:val="20"/>
        </w:rPr>
      </w:pPr>
    </w:p>
    <w:p w:rsidR="007D1CD0" w:rsidRDefault="007D1CD0" w:rsidP="007D1CD0">
      <w:pPr>
        <w:tabs>
          <w:tab w:val="left" w:pos="5216"/>
        </w:tabs>
        <w:spacing w:before="32"/>
        <w:ind w:right="4201"/>
        <w:jc w:val="center"/>
        <w:rPr>
          <w:b/>
          <w:sz w:val="24"/>
        </w:rPr>
      </w:pPr>
      <w:r>
        <w:rPr>
          <w:b/>
          <w:w w:val="105"/>
          <w:sz w:val="24"/>
        </w:rPr>
        <w:t xml:space="preserve">Codul subprogramului </w:t>
      </w:r>
      <w:r>
        <w:rPr>
          <w:b/>
          <w:sz w:val="24"/>
          <w:u w:val="single"/>
        </w:rPr>
        <w:t>210103</w:t>
      </w:r>
    </w:p>
    <w:p w:rsidR="007D1CD0" w:rsidRDefault="007D1CD0" w:rsidP="007D1CD0">
      <w:pPr>
        <w:pStyle w:val="a3"/>
        <w:rPr>
          <w:sz w:val="20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906"/>
      </w:tblGrid>
      <w:tr w:rsidR="007D1CD0" w:rsidRPr="007D1CD0" w:rsidTr="007D1CD0">
        <w:tc>
          <w:tcPr>
            <w:tcW w:w="9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D0" w:rsidRDefault="007D1CD0">
            <w:pPr>
              <w:pStyle w:val="a5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Cercetările în cadrul proiectului au fost efectuate în experiențe de câmp de lungă durată fandate în 1962 și anii ulteriori, cu studierea:</w:t>
            </w:r>
          </w:p>
          <w:p w:rsidR="007D1CD0" w:rsidRDefault="007D1CD0" w:rsidP="00F0535D">
            <w:pPr>
              <w:pStyle w:val="a5"/>
              <w:widowControl/>
              <w:numPr>
                <w:ilvl w:val="0"/>
                <w:numId w:val="1"/>
              </w:numPr>
              <w:ind w:left="0" w:firstLine="5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Rolului diferitor premergători și asolamente, cu diferit grad de saturare cu culturi de câmp comparativ cu cultura permanentă pe fond fertilizat și nefertilizat.</w:t>
            </w:r>
          </w:p>
          <w:p w:rsidR="007D1CD0" w:rsidRDefault="007D1CD0" w:rsidP="00F0535D">
            <w:pPr>
              <w:pStyle w:val="a5"/>
              <w:widowControl/>
              <w:numPr>
                <w:ilvl w:val="0"/>
                <w:numId w:val="1"/>
              </w:numPr>
              <w:ind w:left="0" w:firstLine="5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Efectului diferitor sisteme de fertilizare în asolament</w:t>
            </w:r>
          </w:p>
          <w:p w:rsidR="007D1CD0" w:rsidRDefault="007D1CD0" w:rsidP="00F0535D">
            <w:pPr>
              <w:pStyle w:val="a5"/>
              <w:widowControl/>
              <w:numPr>
                <w:ilvl w:val="0"/>
                <w:numId w:val="1"/>
              </w:numPr>
              <w:ind w:left="0" w:firstLine="5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Efectul irigării și fertilizării în asolament</w:t>
            </w:r>
          </w:p>
          <w:p w:rsidR="007D1CD0" w:rsidRDefault="007D1CD0" w:rsidP="00F0535D">
            <w:pPr>
              <w:pStyle w:val="a5"/>
              <w:widowControl/>
              <w:numPr>
                <w:ilvl w:val="0"/>
                <w:numId w:val="1"/>
              </w:numPr>
              <w:ind w:left="0" w:firstLine="5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Acțiunii și interacțiunii rotației culturilor, sistemelor de lucrare și   fertilizare a solului în asolament, fără folosirea mijloacelor chimice de protecție a plantelor contra „bolilor, dăunătorilor și buruienilor”.</w:t>
            </w:r>
          </w:p>
          <w:p w:rsidR="007D1CD0" w:rsidRDefault="007D1CD0">
            <w:pPr>
              <w:pStyle w:val="a5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fost confirmată influența pozitivă a premergătorilor cu termen de recoltare timpurie pentru cultura grâului de toamnă.</w:t>
            </w:r>
          </w:p>
          <w:p w:rsidR="007D1CD0" w:rsidRDefault="007D1CD0">
            <w:pPr>
              <w:pStyle w:val="a5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Efectul asolamentului (diferența în nivelul de producție obținut în asolament și cultura permanentă pe fond fertilizat și nefertilizat) a demonstrat faptul, că lărgirea biodiversității culturilor pe fond nefertilizat sporește efectul asolamentului. La folosirea îngrășămintelor, efectul asolamentului scade, dar rămâne semnificativ.</w:t>
            </w:r>
          </w:p>
          <w:p w:rsidR="007D1CD0" w:rsidRDefault="007D1CD0">
            <w:pPr>
              <w:pStyle w:val="a5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Efectul fertilizării este semnificativ în cultura permanentă comparativ cu asolamentul.</w:t>
            </w:r>
          </w:p>
          <w:p w:rsidR="007D1CD0" w:rsidRDefault="007D1CD0">
            <w:pPr>
              <w:pStyle w:val="a5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Astfel prin respectarea asolamentului devine posibil micșorarea consumului de surse energetice neregenerabile și derivatelor lor pentru nutriția și protecția plantelor cu folosirea mijloacelor chimice; reducerea  dozelor și necesitatea irigării solului.</w:t>
            </w:r>
          </w:p>
          <w:p w:rsidR="007D1CD0" w:rsidRDefault="007D1CD0">
            <w:pPr>
              <w:pStyle w:val="a5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Ameliorarea calității (sănătății) solului contribuie la reducerea încălzirii globale s.a. Cu regret serviciile </w:t>
            </w:r>
            <w:proofErr w:type="spellStart"/>
            <w:r>
              <w:rPr>
                <w:rFonts w:ascii="Times New Roman" w:hAnsi="Times New Roman" w:cs="Times New Roman"/>
              </w:rPr>
              <w:t>ecosistemice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și asociale acordate de un  sol sănătos nu sunt luate în considerare la moment în agricultură.</w:t>
            </w:r>
          </w:p>
          <w:p w:rsidR="007D1CD0" w:rsidRDefault="007D1CD0">
            <w:pPr>
              <w:pStyle w:val="a5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Folosirea ierburilor perene în asolament, de rând cu aplicarea îngrășămintelor organice, la fel contribuie la reducerea necesității folosirii îngrășămintelor minerale și pesticidelor.</w:t>
            </w:r>
          </w:p>
          <w:p w:rsidR="007D1CD0" w:rsidRDefault="007D1CD0">
            <w:pPr>
              <w:pStyle w:val="a5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 parcursul anului 2024 au fost publicate 19 lucrări științifice, inclusiv 5 în ediții internaționale  prestigioase, 3 lecții publice, participarea cu raport la congresul mondial pe știința solului, participări la 10 conferințe științifice internaționale, 5 seminare, 11 emisiuni radio și 12 emisiuni TV.</w:t>
            </w:r>
          </w:p>
          <w:p w:rsidR="007D1CD0" w:rsidRDefault="007D1CD0">
            <w:pPr>
              <w:pStyle w:val="a5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Respectarea întregului sistem de agricultură va permite tranziția către un sistem de agricultură durabilă, inclusiv ecologică și conservativă, cu un șir de beneficii de ordin economic, ecologic și social.</w:t>
            </w:r>
          </w:p>
        </w:tc>
      </w:tr>
    </w:tbl>
    <w:p w:rsidR="007D1CD0" w:rsidRDefault="007D1CD0" w:rsidP="007D1CD0">
      <w:pPr>
        <w:pStyle w:val="a3"/>
        <w:rPr>
          <w:sz w:val="20"/>
        </w:rPr>
      </w:pPr>
    </w:p>
    <w:p w:rsidR="007D1CD0" w:rsidRDefault="007D1CD0" w:rsidP="007D1CD0"/>
    <w:tbl>
      <w:tblPr>
        <w:tblStyle w:val="a6"/>
        <w:tblpPr w:leftFromText="180" w:rightFromText="180" w:vertAnchor="text" w:horzAnchor="margin" w:tblpY="36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252"/>
        <w:gridCol w:w="1896"/>
      </w:tblGrid>
      <w:tr w:rsidR="007D1CD0" w:rsidTr="007D1CD0">
        <w:tc>
          <w:tcPr>
            <w:tcW w:w="3256" w:type="dxa"/>
            <w:hideMark/>
          </w:tcPr>
          <w:p w:rsidR="007D1CD0" w:rsidRDefault="007D1C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Coordonatorul subprogramului de cercetare</w:t>
            </w:r>
          </w:p>
        </w:tc>
        <w:tc>
          <w:tcPr>
            <w:tcW w:w="4252" w:type="dxa"/>
            <w:vAlign w:val="bottom"/>
            <w:hideMark/>
          </w:tcPr>
          <w:p w:rsidR="007D1CD0" w:rsidRDefault="007D1CD0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Boincean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Boris</w:t>
            </w:r>
          </w:p>
        </w:tc>
        <w:tc>
          <w:tcPr>
            <w:tcW w:w="1837" w:type="dxa"/>
            <w:vAlign w:val="bottom"/>
            <w:hideMark/>
          </w:tcPr>
          <w:p w:rsidR="007D1CD0" w:rsidRDefault="007D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</w:tr>
      <w:tr w:rsidR="007D1CD0" w:rsidTr="007D1CD0">
        <w:tc>
          <w:tcPr>
            <w:tcW w:w="3256" w:type="dxa"/>
          </w:tcPr>
          <w:p w:rsidR="007D1CD0" w:rsidRDefault="007D1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7D1CD0" w:rsidRDefault="007D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(numele, prenumele)</w:t>
            </w:r>
          </w:p>
        </w:tc>
        <w:tc>
          <w:tcPr>
            <w:tcW w:w="1837" w:type="dxa"/>
            <w:hideMark/>
          </w:tcPr>
          <w:p w:rsidR="007D1CD0" w:rsidRDefault="007D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(semnătura)</w:t>
            </w:r>
          </w:p>
        </w:tc>
      </w:tr>
      <w:tr w:rsidR="007D1CD0" w:rsidTr="007D1CD0">
        <w:tc>
          <w:tcPr>
            <w:tcW w:w="3256" w:type="dxa"/>
            <w:vAlign w:val="bottom"/>
            <w:hideMark/>
          </w:tcPr>
          <w:p w:rsidR="007D1CD0" w:rsidRDefault="007D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 ___________________</w:t>
            </w:r>
          </w:p>
        </w:tc>
        <w:tc>
          <w:tcPr>
            <w:tcW w:w="4252" w:type="dxa"/>
          </w:tcPr>
          <w:p w:rsidR="007D1CD0" w:rsidRDefault="007D1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7D1CD0" w:rsidRDefault="007D1CD0">
            <w:pPr>
              <w:jc w:val="both"/>
              <w:rPr>
                <w:sz w:val="24"/>
                <w:szCs w:val="24"/>
              </w:rPr>
            </w:pPr>
          </w:p>
        </w:tc>
      </w:tr>
    </w:tbl>
    <w:p w:rsidR="007D1CD0" w:rsidRDefault="007D1CD0" w:rsidP="007D1CD0"/>
    <w:p w:rsidR="007D1CD0" w:rsidRDefault="007D1CD0" w:rsidP="007D1CD0"/>
    <w:p w:rsidR="007D1CD0" w:rsidRDefault="007D1CD0" w:rsidP="007D1CD0">
      <w:pPr>
        <w:widowControl/>
        <w:autoSpaceDE/>
        <w:autoSpaceDN/>
        <w:sectPr w:rsidR="007D1CD0">
          <w:pgSz w:w="11900" w:h="16820"/>
          <w:pgMar w:top="900" w:right="992" w:bottom="280" w:left="992" w:header="708" w:footer="708" w:gutter="0"/>
          <w:cols w:space="720"/>
        </w:sect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7D1CD0" w:rsidRPr="007D1CD0" w:rsidTr="007D1C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D0" w:rsidRDefault="007D1CD0">
            <w:pPr>
              <w:pStyle w:val="a5"/>
              <w:ind w:firstLine="59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Researches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frame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project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conducted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long-term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field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experiments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founded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1962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following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years</w:t>
            </w:r>
            <w:proofErr w:type="spellEnd"/>
            <w:r>
              <w:rPr>
                <w:rFonts w:ascii="Times New Roman" w:hAnsi="Times New Roman" w:cs="Times New Roman"/>
              </w:rPr>
              <w:t xml:space="preserve"> at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National Center for </w:t>
            </w:r>
            <w:proofErr w:type="spellStart"/>
            <w:r>
              <w:rPr>
                <w:rFonts w:ascii="Times New Roman" w:hAnsi="Times New Roman" w:cs="Times New Roman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Production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Selectia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sector, </w:t>
            </w:r>
            <w:proofErr w:type="spellStart"/>
            <w:r>
              <w:rPr>
                <w:rFonts w:ascii="Times New Roman" w:hAnsi="Times New Roman" w:cs="Times New Roman"/>
              </w:rPr>
              <w:t>city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Balti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studding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7D1CD0" w:rsidRDefault="007D1CD0" w:rsidP="00F0535D">
            <w:pPr>
              <w:pStyle w:val="a5"/>
              <w:widowControl/>
              <w:numPr>
                <w:ilvl w:val="0"/>
                <w:numId w:val="2"/>
              </w:numPr>
              <w:ind w:left="0" w:firstLine="5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role of </w:t>
            </w:r>
            <w:proofErr w:type="spellStart"/>
            <w:r>
              <w:rPr>
                <w:rFonts w:ascii="Times New Roman" w:hAnsi="Times New Roman" w:cs="Times New Roman"/>
              </w:rPr>
              <w:t>different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predecessors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crop </w:t>
            </w:r>
            <w:proofErr w:type="spellStart"/>
            <w:r>
              <w:rPr>
                <w:rFonts w:ascii="Times New Roman" w:hAnsi="Times New Roman" w:cs="Times New Roman"/>
              </w:rPr>
              <w:t>rotations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different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levels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saturation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crops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relatively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permanent </w:t>
            </w:r>
            <w:proofErr w:type="spellStart"/>
            <w:r>
              <w:rPr>
                <w:rFonts w:ascii="Times New Roman" w:hAnsi="Times New Roman" w:cs="Times New Roman"/>
              </w:rPr>
              <w:t>cropping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</w:rPr>
              <w:t>fertilized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unfertilized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D1CD0" w:rsidRDefault="007D1CD0" w:rsidP="00F0535D">
            <w:pPr>
              <w:pStyle w:val="a5"/>
              <w:widowControl/>
              <w:numPr>
                <w:ilvl w:val="0"/>
                <w:numId w:val="2"/>
              </w:numPr>
              <w:ind w:left="0" w:firstLine="5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</w:rPr>
              <w:t>effect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different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systems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fertilization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crop </w:t>
            </w:r>
            <w:proofErr w:type="spellStart"/>
            <w:r>
              <w:rPr>
                <w:rFonts w:ascii="Times New Roman" w:hAnsi="Times New Roman" w:cs="Times New Roman"/>
              </w:rPr>
              <w:t>rotation</w:t>
            </w:r>
            <w:proofErr w:type="spellEnd"/>
          </w:p>
          <w:p w:rsidR="007D1CD0" w:rsidRDefault="007D1CD0" w:rsidP="00F0535D">
            <w:pPr>
              <w:pStyle w:val="a5"/>
              <w:widowControl/>
              <w:numPr>
                <w:ilvl w:val="0"/>
                <w:numId w:val="2"/>
              </w:numPr>
              <w:ind w:left="0" w:firstLine="59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Action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interaction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different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crop </w:t>
            </w:r>
            <w:proofErr w:type="spellStart"/>
            <w:r>
              <w:rPr>
                <w:rFonts w:ascii="Times New Roman" w:hAnsi="Times New Roman" w:cs="Times New Roman"/>
              </w:rPr>
              <w:t>rotations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systems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soil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tillage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fertilization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without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using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chemicals</w:t>
            </w:r>
            <w:proofErr w:type="spellEnd"/>
            <w:r>
              <w:rPr>
                <w:rFonts w:ascii="Times New Roman" w:hAnsi="Times New Roman" w:cs="Times New Roman"/>
              </w:rPr>
              <w:t xml:space="preserve"> for </w:t>
            </w:r>
            <w:proofErr w:type="spellStart"/>
            <w:r>
              <w:rPr>
                <w:rFonts w:ascii="Times New Roman" w:hAnsi="Times New Roman" w:cs="Times New Roman"/>
              </w:rPr>
              <w:t>pest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disease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weed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control</w:t>
            </w:r>
          </w:p>
          <w:p w:rsidR="007D1CD0" w:rsidRDefault="007D1CD0" w:rsidP="00F0535D">
            <w:pPr>
              <w:pStyle w:val="a5"/>
              <w:widowControl/>
              <w:numPr>
                <w:ilvl w:val="0"/>
                <w:numId w:val="2"/>
              </w:numPr>
              <w:ind w:left="0" w:firstLine="5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</w:rPr>
              <w:t>effect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irrigation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fertilization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crop </w:t>
            </w:r>
            <w:proofErr w:type="spellStart"/>
            <w:r>
              <w:rPr>
                <w:rFonts w:ascii="Times New Roman" w:hAnsi="Times New Roman" w:cs="Times New Roman"/>
              </w:rPr>
              <w:t>rotation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it </w:t>
            </w:r>
            <w:proofErr w:type="spellStart"/>
            <w:r>
              <w:rPr>
                <w:rFonts w:ascii="Times New Roman" w:hAnsi="Times New Roman" w:cs="Times New Roman"/>
              </w:rPr>
              <w:t>was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proved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positive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influence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early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harvested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predecessors</w:t>
            </w:r>
            <w:proofErr w:type="spellEnd"/>
            <w:r>
              <w:rPr>
                <w:rFonts w:ascii="Times New Roman" w:hAnsi="Times New Roman" w:cs="Times New Roman"/>
              </w:rPr>
              <w:t xml:space="preserve"> for </w:t>
            </w:r>
            <w:proofErr w:type="spellStart"/>
            <w:r>
              <w:rPr>
                <w:rFonts w:ascii="Times New Roman" w:hAnsi="Times New Roman" w:cs="Times New Roman"/>
              </w:rPr>
              <w:t>wither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wheat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D1CD0" w:rsidRDefault="007D1CD0">
            <w:pPr>
              <w:pStyle w:val="a5"/>
              <w:ind w:firstLine="5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crop </w:t>
            </w:r>
            <w:proofErr w:type="spellStart"/>
            <w:r>
              <w:rPr>
                <w:rFonts w:ascii="Times New Roman" w:hAnsi="Times New Roman" w:cs="Times New Roman"/>
              </w:rPr>
              <w:t>rotation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effect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difference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level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yields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crop </w:t>
            </w:r>
            <w:proofErr w:type="spellStart"/>
            <w:r>
              <w:rPr>
                <w:rFonts w:ascii="Times New Roman" w:hAnsi="Times New Roman" w:cs="Times New Roman"/>
              </w:rPr>
              <w:t>rotation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permanent </w:t>
            </w:r>
            <w:proofErr w:type="spellStart"/>
            <w:r>
              <w:rPr>
                <w:rFonts w:ascii="Times New Roman" w:hAnsi="Times New Roman" w:cs="Times New Roman"/>
              </w:rPr>
              <w:t>cropping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</w:rPr>
              <w:t>fertilized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unfertilized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plots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proved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higher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biodiversity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crops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higher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effect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crop </w:t>
            </w:r>
            <w:proofErr w:type="spellStart"/>
            <w:r>
              <w:rPr>
                <w:rFonts w:ascii="Times New Roman" w:hAnsi="Times New Roman" w:cs="Times New Roman"/>
              </w:rPr>
              <w:t>rotations</w:t>
            </w:r>
            <w:proofErr w:type="spellEnd"/>
            <w:r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</w:rPr>
              <w:t>unfertilized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plots</w:t>
            </w:r>
            <w:proofErr w:type="spellEnd"/>
            <w:r>
              <w:rPr>
                <w:rFonts w:ascii="Times New Roman" w:hAnsi="Times New Roman" w:cs="Times New Roman"/>
              </w:rPr>
              <w:t xml:space="preserve">. The </w:t>
            </w:r>
            <w:proofErr w:type="spellStart"/>
            <w:r>
              <w:rPr>
                <w:rFonts w:ascii="Times New Roman" w:hAnsi="Times New Roman" w:cs="Times New Roman"/>
              </w:rPr>
              <w:t>effect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crop </w:t>
            </w:r>
            <w:proofErr w:type="spellStart"/>
            <w:r>
              <w:rPr>
                <w:rFonts w:ascii="Times New Roman" w:hAnsi="Times New Roman" w:cs="Times New Roman"/>
              </w:rPr>
              <w:t>rotations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decreasing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</w:rPr>
              <w:t>fertilized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plots</w:t>
            </w:r>
            <w:proofErr w:type="spellEnd"/>
            <w:r>
              <w:rPr>
                <w:rFonts w:ascii="Times New Roman" w:hAnsi="Times New Roman" w:cs="Times New Roman"/>
              </w:rPr>
              <w:t xml:space="preserve"> but it </w:t>
            </w:r>
            <w:proofErr w:type="spellStart"/>
            <w:r>
              <w:rPr>
                <w:rFonts w:ascii="Times New Roman" w:hAnsi="Times New Roman" w:cs="Times New Roman"/>
              </w:rPr>
              <w:t>remains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significant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  <w:p w:rsidR="007D1CD0" w:rsidRDefault="007D1CD0">
            <w:pPr>
              <w:pStyle w:val="a5"/>
              <w:ind w:firstLine="5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</w:rPr>
              <w:t>effect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fertilization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increasing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permanent </w:t>
            </w:r>
            <w:proofErr w:type="spellStart"/>
            <w:r>
              <w:rPr>
                <w:rFonts w:ascii="Times New Roman" w:hAnsi="Times New Roman" w:cs="Times New Roman"/>
              </w:rPr>
              <w:t>cropping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relatively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crop </w:t>
            </w:r>
            <w:proofErr w:type="spellStart"/>
            <w:r>
              <w:rPr>
                <w:rFonts w:ascii="Times New Roman" w:hAnsi="Times New Roman" w:cs="Times New Roman"/>
              </w:rPr>
              <w:t>rotations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which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indicate on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significance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soil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health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soil</w:t>
            </w:r>
            <w:proofErr w:type="spellEnd"/>
            <w:r>
              <w:rPr>
                <w:rFonts w:ascii="Times New Roman" w:hAnsi="Times New Roman" w:cs="Times New Roman"/>
              </w:rPr>
              <w:t xml:space="preserve"> quality).</w:t>
            </w:r>
          </w:p>
          <w:p w:rsidR="007D1CD0" w:rsidRDefault="007D1CD0">
            <w:pPr>
              <w:pStyle w:val="a5"/>
              <w:ind w:firstLine="59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respecting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good</w:t>
            </w:r>
            <w:proofErr w:type="spellEnd"/>
            <w:r>
              <w:rPr>
                <w:rFonts w:ascii="Times New Roman" w:hAnsi="Times New Roman" w:cs="Times New Roman"/>
              </w:rPr>
              <w:t xml:space="preserve"> crop </w:t>
            </w:r>
            <w:proofErr w:type="spellStart"/>
            <w:r>
              <w:rPr>
                <w:rFonts w:ascii="Times New Roman" w:hAnsi="Times New Roman" w:cs="Times New Roman"/>
              </w:rPr>
              <w:t>rotation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possible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reduce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use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nonrenewable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source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energy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their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derivate (mineral </w:t>
            </w:r>
            <w:proofErr w:type="spellStart"/>
            <w:r>
              <w:rPr>
                <w:rFonts w:ascii="Times New Roman" w:hAnsi="Times New Roman" w:cs="Times New Roman"/>
              </w:rPr>
              <w:t>fertilizers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pesticides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consumption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fuel</w:t>
            </w:r>
            <w:proofErr w:type="spellEnd"/>
            <w:r>
              <w:rPr>
                <w:rFonts w:ascii="Times New Roman" w:hAnsi="Times New Roman" w:cs="Times New Roman"/>
              </w:rPr>
              <w:t xml:space="preserve"> for </w:t>
            </w:r>
            <w:proofErr w:type="spellStart"/>
            <w:r>
              <w:rPr>
                <w:rFonts w:ascii="Times New Roman" w:hAnsi="Times New Roman" w:cs="Times New Roman"/>
              </w:rPr>
              <w:t>soil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tillage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irrigation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etc.)</w:t>
            </w:r>
          </w:p>
          <w:p w:rsidR="007D1CD0" w:rsidRDefault="007D1CD0">
            <w:pPr>
              <w:pStyle w:val="a5"/>
              <w:ind w:firstLine="59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Improving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soil</w:t>
            </w:r>
            <w:proofErr w:type="spellEnd"/>
            <w:r>
              <w:rPr>
                <w:rFonts w:ascii="Times New Roman" w:hAnsi="Times New Roman" w:cs="Times New Roman"/>
              </w:rPr>
              <w:t xml:space="preserve"> quality </w:t>
            </w:r>
            <w:proofErr w:type="spellStart"/>
            <w:r>
              <w:rPr>
                <w:rFonts w:ascii="Times New Roman" w:hAnsi="Times New Roman" w:cs="Times New Roman"/>
              </w:rPr>
              <w:t>contributes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also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reduction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global </w:t>
            </w:r>
            <w:proofErr w:type="spellStart"/>
            <w:r>
              <w:rPr>
                <w:rFonts w:ascii="Times New Roman" w:hAnsi="Times New Roman" w:cs="Times New Roman"/>
              </w:rPr>
              <w:t>warning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Unfortunately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ecosystem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social </w:t>
            </w:r>
            <w:proofErr w:type="spellStart"/>
            <w:r>
              <w:rPr>
                <w:rFonts w:ascii="Times New Roman" w:hAnsi="Times New Roman" w:cs="Times New Roman"/>
              </w:rPr>
              <w:t>services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provided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soils</w:t>
            </w:r>
            <w:proofErr w:type="spellEnd"/>
            <w:r>
              <w:rPr>
                <w:rFonts w:ascii="Times New Roman" w:hAnsi="Times New Roman" w:cs="Times New Roman"/>
              </w:rPr>
              <w:t xml:space="preserve"> are </w:t>
            </w:r>
            <w:proofErr w:type="spellStart"/>
            <w:r>
              <w:rPr>
                <w:rFonts w:ascii="Times New Roman" w:hAnsi="Times New Roman" w:cs="Times New Roman"/>
              </w:rPr>
              <w:t>neglected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at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moment in     </w:t>
            </w:r>
            <w:proofErr w:type="spellStart"/>
            <w:r>
              <w:rPr>
                <w:rFonts w:ascii="Times New Roman" w:hAnsi="Times New Roman" w:cs="Times New Roman"/>
              </w:rPr>
              <w:t>agriculture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D1CD0" w:rsidRDefault="007D1CD0">
            <w:pPr>
              <w:pStyle w:val="a5"/>
              <w:ind w:firstLine="59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Perennial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crops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organic </w:t>
            </w:r>
            <w:proofErr w:type="spellStart"/>
            <w:r>
              <w:rPr>
                <w:rFonts w:ascii="Times New Roman" w:hAnsi="Times New Roman" w:cs="Times New Roman"/>
              </w:rPr>
              <w:t>fertilizers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are </w:t>
            </w:r>
            <w:proofErr w:type="spellStart"/>
            <w:r>
              <w:rPr>
                <w:rFonts w:ascii="Times New Roman" w:hAnsi="Times New Roman" w:cs="Times New Roman"/>
              </w:rPr>
              <w:t>contributing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also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reduction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necessity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using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mineral </w:t>
            </w:r>
            <w:proofErr w:type="spellStart"/>
            <w:r>
              <w:rPr>
                <w:rFonts w:ascii="Times New Roman" w:hAnsi="Times New Roman" w:cs="Times New Roman"/>
              </w:rPr>
              <w:t>fertilizers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pesticides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D1CD0" w:rsidRDefault="007D1CD0">
            <w:pPr>
              <w:pStyle w:val="a5"/>
              <w:ind w:firstLine="5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2024 it </w:t>
            </w:r>
            <w:proofErr w:type="spellStart"/>
            <w:r>
              <w:rPr>
                <w:rFonts w:ascii="Times New Roman" w:hAnsi="Times New Roman" w:cs="Times New Roman"/>
              </w:rPr>
              <w:t>was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published</w:t>
            </w:r>
            <w:proofErr w:type="spellEnd"/>
            <w:r>
              <w:rPr>
                <w:rFonts w:ascii="Times New Roman" w:hAnsi="Times New Roman" w:cs="Times New Roman"/>
              </w:rPr>
              <w:t xml:space="preserve"> 19 </w:t>
            </w:r>
            <w:proofErr w:type="spellStart"/>
            <w:r>
              <w:rPr>
                <w:rFonts w:ascii="Times New Roman" w:hAnsi="Times New Roman" w:cs="Times New Roman"/>
              </w:rPr>
              <w:t>scientific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works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including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5 in </w:t>
            </w:r>
            <w:proofErr w:type="spellStart"/>
            <w:r>
              <w:rPr>
                <w:rFonts w:ascii="Times New Roman" w:hAnsi="Times New Roman" w:cs="Times New Roman"/>
              </w:rPr>
              <w:t>prestigious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foreign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editions</w:t>
            </w:r>
            <w:proofErr w:type="spellEnd"/>
            <w:r>
              <w:rPr>
                <w:rFonts w:ascii="Times New Roman" w:hAnsi="Times New Roman" w:cs="Times New Roman"/>
              </w:rPr>
              <w:t xml:space="preserve">, 3 public </w:t>
            </w:r>
            <w:proofErr w:type="spellStart"/>
            <w:r>
              <w:rPr>
                <w:rFonts w:ascii="Times New Roman" w:hAnsi="Times New Roman" w:cs="Times New Roman"/>
              </w:rPr>
              <w:t>lectures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participations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reports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at 10 </w:t>
            </w:r>
            <w:proofErr w:type="spellStart"/>
            <w:r>
              <w:rPr>
                <w:rFonts w:ascii="Times New Roman" w:hAnsi="Times New Roman" w:cs="Times New Roman"/>
              </w:rPr>
              <w:t>scientific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international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conferences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5 </w:t>
            </w:r>
            <w:proofErr w:type="spellStart"/>
            <w:r>
              <w:rPr>
                <w:rFonts w:ascii="Times New Roman" w:hAnsi="Times New Roman" w:cs="Times New Roman"/>
              </w:rPr>
              <w:t>seminars</w:t>
            </w:r>
            <w:proofErr w:type="spellEnd"/>
            <w:r>
              <w:rPr>
                <w:rFonts w:ascii="Times New Roman" w:hAnsi="Times New Roman" w:cs="Times New Roman"/>
              </w:rPr>
              <w:t xml:space="preserve">, radio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TV </w:t>
            </w:r>
            <w:proofErr w:type="spellStart"/>
            <w:r>
              <w:rPr>
                <w:rFonts w:ascii="Times New Roman" w:hAnsi="Times New Roman" w:cs="Times New Roman"/>
              </w:rPr>
              <w:t>emissions</w:t>
            </w:r>
            <w:proofErr w:type="spellEnd"/>
            <w:r>
              <w:rPr>
                <w:rFonts w:ascii="Times New Roman" w:hAnsi="Times New Roman" w:cs="Times New Roman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12, </w:t>
            </w:r>
            <w:proofErr w:type="spellStart"/>
            <w:r>
              <w:rPr>
                <w:rFonts w:ascii="Times New Roman" w:hAnsi="Times New Roman" w:cs="Times New Roman"/>
              </w:rPr>
              <w:t>respectively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D1CD0" w:rsidRDefault="007D1CD0">
            <w:pPr>
              <w:ind w:firstLine="59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Respecting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whole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system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agriculture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allow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transition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a more </w:t>
            </w:r>
            <w:proofErr w:type="spellStart"/>
            <w:r>
              <w:rPr>
                <w:sz w:val="24"/>
                <w:szCs w:val="24"/>
              </w:rPr>
              <w:t>sustainable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agriculture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including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organic </w:t>
            </w:r>
            <w:proofErr w:type="spellStart"/>
            <w:r>
              <w:rPr>
                <w:sz w:val="24"/>
                <w:szCs w:val="24"/>
              </w:rPr>
              <w:t>agriculture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many</w:t>
            </w:r>
            <w:proofErr w:type="spellEnd"/>
            <w:r>
              <w:rPr>
                <w:sz w:val="24"/>
                <w:szCs w:val="24"/>
              </w:rPr>
              <w:t xml:space="preserve"> economic, ecologic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social </w:t>
            </w:r>
            <w:proofErr w:type="spellStart"/>
            <w:r>
              <w:rPr>
                <w:sz w:val="24"/>
                <w:szCs w:val="24"/>
              </w:rPr>
              <w:t>benefits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7D1CD0" w:rsidRDefault="007D1CD0" w:rsidP="007D1CD0">
      <w:pPr>
        <w:rPr>
          <w:sz w:val="24"/>
          <w:szCs w:val="24"/>
        </w:rPr>
      </w:pPr>
    </w:p>
    <w:tbl>
      <w:tblPr>
        <w:tblStyle w:val="a6"/>
        <w:tblpPr w:leftFromText="180" w:rightFromText="180" w:vertAnchor="text" w:horzAnchor="margin" w:tblpY="36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252"/>
        <w:gridCol w:w="1896"/>
      </w:tblGrid>
      <w:tr w:rsidR="007D1CD0" w:rsidTr="007D1CD0">
        <w:tc>
          <w:tcPr>
            <w:tcW w:w="3256" w:type="dxa"/>
            <w:hideMark/>
          </w:tcPr>
          <w:p w:rsidR="007D1CD0" w:rsidRDefault="007D1C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Coordonatorul subprogramului de cercetare</w:t>
            </w:r>
          </w:p>
        </w:tc>
        <w:tc>
          <w:tcPr>
            <w:tcW w:w="4252" w:type="dxa"/>
            <w:vAlign w:val="bottom"/>
            <w:hideMark/>
          </w:tcPr>
          <w:p w:rsidR="007D1CD0" w:rsidRDefault="007D1CD0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Boincean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Boris</w:t>
            </w:r>
          </w:p>
        </w:tc>
        <w:tc>
          <w:tcPr>
            <w:tcW w:w="1837" w:type="dxa"/>
            <w:vAlign w:val="bottom"/>
            <w:hideMark/>
          </w:tcPr>
          <w:p w:rsidR="007D1CD0" w:rsidRDefault="007D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</w:tr>
      <w:tr w:rsidR="007D1CD0" w:rsidTr="007D1CD0">
        <w:tc>
          <w:tcPr>
            <w:tcW w:w="3256" w:type="dxa"/>
          </w:tcPr>
          <w:p w:rsidR="007D1CD0" w:rsidRDefault="007D1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7D1CD0" w:rsidRDefault="007D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(numele, prenumele)</w:t>
            </w:r>
          </w:p>
        </w:tc>
        <w:tc>
          <w:tcPr>
            <w:tcW w:w="1837" w:type="dxa"/>
            <w:hideMark/>
          </w:tcPr>
          <w:p w:rsidR="007D1CD0" w:rsidRDefault="007D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(semnătura)</w:t>
            </w:r>
          </w:p>
        </w:tc>
      </w:tr>
      <w:tr w:rsidR="007D1CD0" w:rsidTr="007D1CD0">
        <w:tc>
          <w:tcPr>
            <w:tcW w:w="3256" w:type="dxa"/>
            <w:vAlign w:val="bottom"/>
            <w:hideMark/>
          </w:tcPr>
          <w:p w:rsidR="007D1CD0" w:rsidRDefault="007D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 ___________________</w:t>
            </w:r>
          </w:p>
        </w:tc>
        <w:tc>
          <w:tcPr>
            <w:tcW w:w="4252" w:type="dxa"/>
          </w:tcPr>
          <w:p w:rsidR="007D1CD0" w:rsidRDefault="007D1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7D1CD0" w:rsidRDefault="007D1CD0">
            <w:pPr>
              <w:jc w:val="both"/>
              <w:rPr>
                <w:sz w:val="24"/>
                <w:szCs w:val="24"/>
              </w:rPr>
            </w:pPr>
          </w:p>
        </w:tc>
      </w:tr>
    </w:tbl>
    <w:p w:rsidR="009637B8" w:rsidRDefault="009637B8">
      <w:bookmarkStart w:id="0" w:name="_GoBack"/>
      <w:bookmarkEnd w:id="0"/>
    </w:p>
    <w:sectPr w:rsidR="0096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243C7"/>
    <w:multiLevelType w:val="hybridMultilevel"/>
    <w:tmpl w:val="8D58010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DE0780B"/>
    <w:multiLevelType w:val="hybridMultilevel"/>
    <w:tmpl w:val="150A9D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2C"/>
    <w:rsid w:val="00347D2C"/>
    <w:rsid w:val="007D1CD0"/>
    <w:rsid w:val="0096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C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D1CD0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7D1CD0"/>
    <w:rPr>
      <w:rFonts w:ascii="Times New Roman" w:eastAsia="Times New Roman" w:hAnsi="Times New Roman" w:cs="Times New Roman"/>
      <w:sz w:val="23"/>
      <w:szCs w:val="23"/>
      <w:lang w:val="ro-RO"/>
    </w:rPr>
  </w:style>
  <w:style w:type="paragraph" w:styleId="a5">
    <w:name w:val="No Spacing"/>
    <w:uiPriority w:val="1"/>
    <w:qFormat/>
    <w:rsid w:val="007D1CD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table" w:styleId="a6">
    <w:name w:val="Table Grid"/>
    <w:basedOn w:val="a1"/>
    <w:uiPriority w:val="39"/>
    <w:rsid w:val="007D1CD0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C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D1CD0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7D1CD0"/>
    <w:rPr>
      <w:rFonts w:ascii="Times New Roman" w:eastAsia="Times New Roman" w:hAnsi="Times New Roman" w:cs="Times New Roman"/>
      <w:sz w:val="23"/>
      <w:szCs w:val="23"/>
      <w:lang w:val="ro-RO"/>
    </w:rPr>
  </w:style>
  <w:style w:type="paragraph" w:styleId="a5">
    <w:name w:val="No Spacing"/>
    <w:uiPriority w:val="1"/>
    <w:qFormat/>
    <w:rsid w:val="007D1CD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table" w:styleId="a6">
    <w:name w:val="Table Grid"/>
    <w:basedOn w:val="a1"/>
    <w:uiPriority w:val="39"/>
    <w:rsid w:val="007D1CD0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2025-01-23T08:51:00Z</dcterms:created>
  <dcterms:modified xsi:type="dcterms:W3CDTF">2025-01-23T08:51:00Z</dcterms:modified>
</cp:coreProperties>
</file>