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42E19" w14:textId="77777777" w:rsidR="0006348C" w:rsidRPr="00D61877" w:rsidRDefault="0006348C" w:rsidP="0006348C">
      <w:pPr>
        <w:keepNext/>
        <w:spacing w:after="120" w:line="276" w:lineRule="auto"/>
        <w:jc w:val="right"/>
        <w:outlineLvl w:val="0"/>
        <w:rPr>
          <w:rFonts w:ascii="Times New Roman" w:hAnsi="Times New Roman"/>
          <w:bCs/>
          <w:kern w:val="32"/>
          <w:sz w:val="24"/>
          <w:szCs w:val="24"/>
          <w:lang w:val="ro-RO"/>
        </w:rPr>
      </w:pPr>
      <w:r w:rsidRPr="00D61877">
        <w:rPr>
          <w:rFonts w:ascii="Times New Roman" w:hAnsi="Times New Roman"/>
          <w:bCs/>
          <w:kern w:val="32"/>
          <w:sz w:val="24"/>
          <w:szCs w:val="24"/>
          <w:lang w:val="ro-RO"/>
        </w:rPr>
        <w:t>Anexa nr. 1</w:t>
      </w:r>
    </w:p>
    <w:p w14:paraId="41E938AB" w14:textId="77777777" w:rsidR="0006348C" w:rsidRDefault="0006348C" w:rsidP="0006348C">
      <w:pPr>
        <w:keepNext/>
        <w:spacing w:after="120" w:line="276" w:lineRule="auto"/>
        <w:jc w:val="center"/>
        <w:outlineLvl w:val="0"/>
        <w:rPr>
          <w:rFonts w:ascii="Times New Roman" w:hAnsi="Times New Roman"/>
          <w:b/>
          <w:bCs/>
          <w:kern w:val="32"/>
          <w:sz w:val="24"/>
          <w:szCs w:val="24"/>
          <w:lang w:val="ro-RO"/>
        </w:rPr>
      </w:pPr>
      <w:r w:rsidRPr="00D61877">
        <w:rPr>
          <w:rFonts w:ascii="Times New Roman" w:hAnsi="Times New Roman"/>
          <w:b/>
          <w:bCs/>
          <w:kern w:val="32"/>
          <w:sz w:val="24"/>
          <w:szCs w:val="24"/>
          <w:lang w:val="ro-RO"/>
        </w:rPr>
        <w:t xml:space="preserve">Rezumatul activității și a rezultatelor obținute în </w:t>
      </w:r>
      <w:r w:rsidRPr="00D61877">
        <w:rPr>
          <w:rFonts w:ascii="Times New Roman" w:hAnsi="Times New Roman"/>
          <w:b/>
          <w:color w:val="000000"/>
          <w:kern w:val="32"/>
          <w:sz w:val="24"/>
          <w:szCs w:val="24"/>
          <w:lang w:val="ro-RO"/>
        </w:rPr>
        <w:t>subprogram</w:t>
      </w:r>
      <w:r w:rsidRPr="00D61877">
        <w:rPr>
          <w:rFonts w:ascii="Times New Roman" w:hAnsi="Times New Roman"/>
          <w:b/>
          <w:bCs/>
          <w:kern w:val="32"/>
          <w:sz w:val="24"/>
          <w:szCs w:val="24"/>
          <w:lang w:val="ro-RO"/>
        </w:rPr>
        <w:t xml:space="preserve"> în anul 2024</w:t>
      </w:r>
    </w:p>
    <w:p w14:paraId="4A767EBB" w14:textId="00379712" w:rsidR="001055D8" w:rsidRDefault="0006348C" w:rsidP="001055D8">
      <w:pPr>
        <w:pStyle w:val="a3"/>
        <w:spacing w:line="276" w:lineRule="auto"/>
        <w:jc w:val="center"/>
        <w:rPr>
          <w:rFonts w:ascii="Times New Roman" w:hAnsi="Times New Roman"/>
          <w:b/>
          <w:color w:val="auto"/>
        </w:rPr>
      </w:pPr>
      <w:r w:rsidRPr="000168CC">
        <w:rPr>
          <w:rFonts w:ascii="Times New Roman" w:hAnsi="Times New Roman"/>
          <w:b/>
          <w:color w:val="auto"/>
        </w:rPr>
        <w:t xml:space="preserve">Studiul Integrității cerebrale, psihice și demnității la pacientul cu AVC, dreptul la libertatea de gândire și a cogniției. Strategii de restabilire a demnității umane și revenire la autonomie </w:t>
      </w:r>
    </w:p>
    <w:p w14:paraId="4A13B647" w14:textId="3EE8B369" w:rsidR="0006348C" w:rsidRDefault="0006348C" w:rsidP="001055D8">
      <w:pPr>
        <w:pStyle w:val="a3"/>
        <w:spacing w:line="276" w:lineRule="auto"/>
        <w:rPr>
          <w:rFonts w:ascii="Times New Roman" w:hAnsi="Times New Roman"/>
          <w:b/>
        </w:rPr>
      </w:pPr>
      <w:r w:rsidRPr="000168CC">
        <w:rPr>
          <w:rFonts w:ascii="Times New Roman" w:hAnsi="Times New Roman"/>
          <w:b/>
        </w:rPr>
        <w:t xml:space="preserve">Codul </w:t>
      </w:r>
      <w:r w:rsidRPr="000168CC">
        <w:rPr>
          <w:rFonts w:ascii="Times New Roman" w:hAnsi="Times New Roman"/>
          <w:b/>
          <w:kern w:val="32"/>
        </w:rPr>
        <w:t>subprogram</w:t>
      </w:r>
      <w:r w:rsidRPr="000168CC">
        <w:rPr>
          <w:rFonts w:ascii="Times New Roman" w:hAnsi="Times New Roman"/>
          <w:b/>
        </w:rPr>
        <w:t>ului</w:t>
      </w:r>
      <w:r w:rsidRPr="000168CC">
        <w:rPr>
          <w:rFonts w:ascii="Times New Roman" w:hAnsi="Times New Roman"/>
        </w:rPr>
        <w:t xml:space="preserve"> </w:t>
      </w:r>
      <w:r w:rsidRPr="000168CC">
        <w:rPr>
          <w:rFonts w:ascii="Times New Roman" w:hAnsi="Times New Roman"/>
          <w:b/>
        </w:rPr>
        <w:t>080501</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06348C" w:rsidRPr="00B526BF" w14:paraId="74B4D8A3" w14:textId="77777777" w:rsidTr="008126D5">
        <w:tc>
          <w:tcPr>
            <w:tcW w:w="9558" w:type="dxa"/>
            <w:shd w:val="clear" w:color="auto" w:fill="auto"/>
          </w:tcPr>
          <w:p w14:paraId="71448F6A" w14:textId="77777777" w:rsidR="0006348C" w:rsidRPr="001055D8" w:rsidRDefault="0006348C" w:rsidP="008126D5">
            <w:pPr>
              <w:spacing w:after="0" w:line="276" w:lineRule="auto"/>
              <w:jc w:val="both"/>
              <w:rPr>
                <w:rFonts w:ascii="Times New Roman" w:hAnsi="Times New Roman"/>
                <w:sz w:val="24"/>
                <w:szCs w:val="24"/>
                <w:lang w:val="fr-FR"/>
              </w:rPr>
            </w:pPr>
            <w:r w:rsidRPr="001055D8">
              <w:rPr>
                <w:rFonts w:ascii="Times New Roman" w:hAnsi="Times New Roman"/>
                <w:sz w:val="24"/>
                <w:szCs w:val="24"/>
                <w:lang w:val="ro-RO"/>
              </w:rPr>
              <w:t xml:space="preserve">În anul 2024, activitatea științifică a Centrului de Sănătate a Creierului din cadrul USMF „Nicolae Testemițanu” a fost marcată de rezultate notabile în cercetare, educație și inovare. </w:t>
            </w:r>
            <w:r w:rsidRPr="001055D8">
              <w:rPr>
                <w:rFonts w:ascii="Times New Roman" w:hAnsi="Times New Roman"/>
                <w:sz w:val="24"/>
                <w:szCs w:val="24"/>
                <w:lang w:val="fr-FR"/>
              </w:rPr>
              <w:t>Au fost publicate 204 lucrări științifice, inclusiv 2 capitole în monografii internaționale, 3 monografii naționale și 16 articole în reviste din bazele de date cu Impact Factor, 6 articole în reviste din Registrul National al revistelor de profil. Angajații au participat la forumuri internaționale cu 24 comunicări orale și 21 postere, iar la cele naționale cu 47 comunicări orale și 11 postere. Obținerea a șase certificate de inovator reprezintă o recunoaștere a excelenței în cercetare, care confirmă aplicabilitatea în practică a rezultatelor. Inovațiile dezvoltate de membrii Centrului de S</w:t>
            </w:r>
            <w:r w:rsidRPr="001055D8">
              <w:rPr>
                <w:rFonts w:ascii="Times New Roman" w:hAnsi="Times New Roman"/>
                <w:sz w:val="24"/>
                <w:szCs w:val="24"/>
                <w:lang w:val="ro-RO"/>
              </w:rPr>
              <w:t>ănătate a Creierului</w:t>
            </w:r>
            <w:r w:rsidRPr="001055D8">
              <w:rPr>
                <w:rFonts w:ascii="Times New Roman" w:hAnsi="Times New Roman"/>
                <w:sz w:val="24"/>
                <w:szCs w:val="24"/>
                <w:lang w:val="fr-FR"/>
              </w:rPr>
              <w:t xml:space="preserve">, au fost apreciate la saloanele de invenție, care au participat la o expoziție națională și una internațională. Astfel au fost obţinute 8 medalii, din ele 6 de aur, 1 de argint, 1 de bronz. Au susținut teza de dr. șt. med., cercetătorii științifici: Vataman Anatolie, titlul „Particularitățile clinico-neurofiziologice ale epilepsiei cu crize mioclonice”, conducător științific dr. hab. șt. med., prof. univ., academician al AȘM, Groppa Stanislav; Lupușor Nadejda, titlul „Calitatea vieții copilului după  accidentul vascular cerebral ischemic:  considerente medico-sociale” conducător științific dr. hab. șt. med., prof. univ, Hadjiu Svetlana; </w:t>
            </w:r>
            <w:r w:rsidRPr="001055D8">
              <w:rPr>
                <w:rFonts w:ascii="Times New Roman" w:hAnsi="Times New Roman"/>
                <w:sz w:val="24"/>
                <w:szCs w:val="24"/>
                <w:lang w:val="ro-MD"/>
              </w:rPr>
              <w:t xml:space="preserve">Șargu Elena, </w:t>
            </w:r>
            <w:r w:rsidRPr="001055D8">
              <w:rPr>
                <w:rFonts w:ascii="Times New Roman" w:hAnsi="Times New Roman"/>
                <w:bCs/>
                <w:sz w:val="24"/>
                <w:szCs w:val="24"/>
                <w:lang w:val="ro-MD"/>
              </w:rPr>
              <w:t>titlul ,,Fenomenul ,,Medicalizarea societății”: configurații teoretice și sociobioetice’’ c</w:t>
            </w:r>
            <w:r w:rsidRPr="001055D8">
              <w:rPr>
                <w:rFonts w:ascii="Times New Roman" w:hAnsi="Times New Roman"/>
                <w:sz w:val="24"/>
                <w:szCs w:val="24"/>
                <w:lang w:val="ro-MD"/>
              </w:rPr>
              <w:t xml:space="preserve">onducător științific </w:t>
            </w:r>
            <w:r w:rsidRPr="001055D8">
              <w:rPr>
                <w:rFonts w:ascii="Times New Roman" w:hAnsi="Times New Roman"/>
                <w:bCs/>
                <w:sz w:val="24"/>
                <w:szCs w:val="24"/>
                <w:lang w:val="ro-MD"/>
              </w:rPr>
              <w:t>dr. hab. filos., Ojovan Vitalie.</w:t>
            </w:r>
          </w:p>
          <w:p w14:paraId="6E3EDC9A" w14:textId="77777777" w:rsidR="0006348C" w:rsidRPr="001055D8" w:rsidRDefault="0006348C" w:rsidP="008126D5">
            <w:pPr>
              <w:spacing w:after="0" w:line="276" w:lineRule="auto"/>
              <w:jc w:val="both"/>
              <w:rPr>
                <w:rFonts w:ascii="Times New Roman" w:hAnsi="Times New Roman"/>
                <w:sz w:val="24"/>
                <w:szCs w:val="24"/>
                <w:lang w:val="fr-FR"/>
              </w:rPr>
            </w:pPr>
            <w:r w:rsidRPr="001055D8">
              <w:rPr>
                <w:rFonts w:ascii="Times New Roman" w:hAnsi="Times New Roman"/>
                <w:sz w:val="24"/>
                <w:szCs w:val="24"/>
                <w:lang w:val="fr-FR"/>
              </w:rPr>
              <w:t xml:space="preserve">Pe parcursul anului </w:t>
            </w:r>
            <w:r w:rsidRPr="001055D8">
              <w:rPr>
                <w:rFonts w:ascii="Times New Roman" w:hAnsi="Times New Roman"/>
                <w:sz w:val="24"/>
                <w:szCs w:val="24"/>
                <w:lang w:val="ro-MD"/>
              </w:rPr>
              <w:t xml:space="preserve">au fost organizate 6 conferințe științifico-practice, două din ele cu participare internațională, EAN Regional Teaching Course (Curs Educațional Regional Academia Europeană de Neurologie), Atelier de implementare a Planului Global de Acțiune Intersectorială pentru epilepsie și alte tulburări neurologice (IGAP) și Școala de Neuroștiințe destinată instruirii studenților și medicilor rezidenți în domeniul accidentelor vasculare cerebrale (AVC) și managementul epilepsiei, crizelor epileptice și tratamentul cu anticonvulsivante. </w:t>
            </w:r>
            <w:r w:rsidRPr="001055D8">
              <w:rPr>
                <w:rFonts w:ascii="Times New Roman" w:hAnsi="Times New Roman"/>
                <w:sz w:val="24"/>
                <w:szCs w:val="24"/>
                <w:lang w:val="fr-FR"/>
              </w:rPr>
              <w:t>Au fost implementate proceduri avansate de monitorizare Video-EEG la pacienții cu epilepsie farmacorezistentă, registre neuroimagistice și protocoale de stimulare magnetică transcraniană. A fost elaborată Fișa de evaluare a pacientului cu epilepsie genetică,</w:t>
            </w:r>
            <w:r w:rsidRPr="001055D8">
              <w:rPr>
                <w:rFonts w:ascii="Times New Roman" w:hAnsi="Times New Roman"/>
                <w:bCs/>
                <w:sz w:val="24"/>
                <w:szCs w:val="24"/>
                <w:lang w:val="ro-RO"/>
              </w:rPr>
              <w:t xml:space="preserve"> care oferă răspunsuri la provocările stringente în tratamentul acestor pacienți, cu posibilitatea de depistare a variantelor genice, a biomarkerilor cu potențial predictiv în stabilirea diagnosticului, managementului terapeutic și evoluției epilepsiei familiale;</w:t>
            </w:r>
            <w:r w:rsidRPr="001055D8">
              <w:rPr>
                <w:rFonts w:ascii="Times New Roman" w:hAnsi="Times New Roman"/>
                <w:sz w:val="24"/>
                <w:szCs w:val="24"/>
                <w:lang w:val="fr-FR"/>
              </w:rPr>
              <w:t xml:space="preserve"> a fost elaborat Registrul Național al pacienților cu epilepsie genetică. Ca rezultat, evidențele obținute vor sta la baza îmbunătățirii algoritmului de diagnostic și a criteriilor de supraviețuire a pacienților cu epilepsie.</w:t>
            </w:r>
          </w:p>
          <w:p w14:paraId="7CA1ECF6" w14:textId="77777777" w:rsidR="0006348C" w:rsidRPr="001055D8" w:rsidRDefault="0006348C" w:rsidP="008126D5">
            <w:pPr>
              <w:spacing w:after="0" w:line="276" w:lineRule="auto"/>
              <w:jc w:val="both"/>
              <w:rPr>
                <w:rFonts w:ascii="Times New Roman" w:hAnsi="Times New Roman"/>
                <w:sz w:val="24"/>
                <w:szCs w:val="24"/>
                <w:lang w:val="ro-RO"/>
              </w:rPr>
            </w:pPr>
            <w:r w:rsidRPr="001055D8">
              <w:rPr>
                <w:rFonts w:ascii="Times New Roman" w:hAnsi="Times New Roman"/>
                <w:sz w:val="24"/>
                <w:szCs w:val="24"/>
                <w:lang w:val="ro-RO"/>
              </w:rPr>
              <w:t>În domeniul sănătății mintale, colaborările internaționale s-au intensificat prin semnarea unui memorandum cu Stanley Research Institute, SUA. A fost aprobată de Consiliul Științific monografia cu titlul,, Sănătatea mintală la distanță”.</w:t>
            </w:r>
            <w:r w:rsidRPr="001055D8">
              <w:rPr>
                <w:sz w:val="24"/>
                <w:szCs w:val="24"/>
              </w:rPr>
              <w:t xml:space="preserve"> </w:t>
            </w:r>
            <w:r w:rsidRPr="001055D8">
              <w:rPr>
                <w:rFonts w:ascii="Times New Roman" w:hAnsi="Times New Roman"/>
                <w:sz w:val="24"/>
                <w:szCs w:val="24"/>
                <w:lang w:val="ro-RO"/>
              </w:rPr>
              <w:t xml:space="preserve">Pe parcursul anului 2024 activitatea Laboratorului de sănătate a creierului și bioetica s-a concentrat pe analiza corelației dintre nivelul de sănătate a creierului și posibilitățile implicării capacităților teoretice și aplicative ale bioeticii privind perspectiva ameliorării unor stări psiho-somatice, comportamentale și cognitive la persoane cu afecțiuni neurologice. </w:t>
            </w:r>
          </w:p>
          <w:p w14:paraId="6B0CA4A8" w14:textId="77777777" w:rsidR="0006348C" w:rsidRDefault="0006348C" w:rsidP="008126D5">
            <w:pPr>
              <w:spacing w:after="0" w:line="276" w:lineRule="auto"/>
              <w:jc w:val="both"/>
              <w:rPr>
                <w:rFonts w:ascii="Times New Roman" w:hAnsi="Times New Roman"/>
                <w:lang w:val="ro-RO"/>
              </w:rPr>
            </w:pPr>
          </w:p>
          <w:p w14:paraId="5F15B4A5" w14:textId="77777777" w:rsidR="0006348C" w:rsidRDefault="0006348C" w:rsidP="008126D5">
            <w:pPr>
              <w:spacing w:after="0" w:line="276" w:lineRule="auto"/>
              <w:jc w:val="both"/>
              <w:rPr>
                <w:rFonts w:ascii="Times New Roman" w:hAnsi="Times New Roman"/>
                <w:lang w:val="ro-RO"/>
              </w:rPr>
            </w:pPr>
          </w:p>
          <w:p w14:paraId="5EC00245" w14:textId="77777777" w:rsidR="0006348C" w:rsidRPr="00B526BF" w:rsidRDefault="0006348C" w:rsidP="008126D5">
            <w:pPr>
              <w:spacing w:after="0" w:line="276" w:lineRule="auto"/>
              <w:jc w:val="both"/>
              <w:rPr>
                <w:rFonts w:ascii="Times New Roman" w:hAnsi="Times New Roman"/>
                <w:lang w:val="ro-RO"/>
              </w:rPr>
            </w:pPr>
            <w:r w:rsidRPr="00B526BF">
              <w:rPr>
                <w:rFonts w:ascii="Times New Roman" w:hAnsi="Times New Roman"/>
                <w:lang w:val="ro-RO"/>
              </w:rPr>
              <w:t>In 2024, the Brain Health Center within the "N. Testemițanu" SUMPh - achieved significant results in research, education, and innovation. A total of 204 scientific papers were published, including 2 chapters in international monographs, 3 national monographs, and 16 articles in journals indexed in Impact Factor databases, as well as 6 articles in journals listed in the National Register of Specialized Journals. Center staff participated in international forums with 24 oral presentations and 21 posters, and in national forums with 47 oral presentations and 11 posters. Obtaining six innovator certificates represents a recognition of excellence in research, which confirms the practical applicability of the results. The innovations developed by the members of the Brain Health Center were appreciated at the invention salons, which participated in a national and an international exhibition, where they won 8 medals, including 6 gold, 1 silver, and 1 bronze.</w:t>
            </w:r>
          </w:p>
          <w:p w14:paraId="0723F33A" w14:textId="77777777" w:rsidR="0006348C" w:rsidRPr="00B526BF" w:rsidRDefault="0006348C" w:rsidP="008126D5">
            <w:pPr>
              <w:spacing w:after="0" w:line="276" w:lineRule="auto"/>
              <w:jc w:val="both"/>
              <w:rPr>
                <w:rFonts w:ascii="Times New Roman" w:hAnsi="Times New Roman"/>
                <w:lang w:val="ro-RO"/>
              </w:rPr>
            </w:pPr>
            <w:r w:rsidRPr="00B526BF">
              <w:rPr>
                <w:rFonts w:ascii="Times New Roman" w:hAnsi="Times New Roman"/>
                <w:lang w:val="ro-RO"/>
              </w:rPr>
              <w:t>Research fellows: Anatolie Vataman, with the thesis titled "Clinical and neurophysiological characteristics of epilepsy with myoclonic seizures" (supervised by scientific advisor PhD, Prof., Academician of the Academy of Sciences of Moldova, Groppa Stanislav), Nadejda Lupuşor, with the thesis titled "Quality of life in children after ischemic stroke: medical and social considerations" (supervised by scientific advisor PhD, Prof., Hadjiu Svetlana), and Elena Şargu, with the thesis titled "The phenomenon of 'Medicalization of society': theoretical and socio-bioethical configurations" (supervised by</w:t>
            </w:r>
            <w:r w:rsidRPr="00B526BF">
              <w:t xml:space="preserve"> </w:t>
            </w:r>
            <w:r w:rsidRPr="00B526BF">
              <w:rPr>
                <w:rFonts w:ascii="Times New Roman" w:hAnsi="Times New Roman"/>
                <w:lang w:val="ro-RO"/>
              </w:rPr>
              <w:t>scientific advisor PhD, Prof. Vitalie Ojovan), successfully defended their doctoral theses.</w:t>
            </w:r>
          </w:p>
          <w:p w14:paraId="0936A99A" w14:textId="77777777" w:rsidR="0006348C" w:rsidRPr="00B526BF" w:rsidRDefault="0006348C" w:rsidP="008126D5">
            <w:pPr>
              <w:spacing w:after="0" w:line="276" w:lineRule="auto"/>
              <w:jc w:val="both"/>
              <w:rPr>
                <w:rFonts w:ascii="Times New Roman" w:hAnsi="Times New Roman"/>
                <w:lang w:val="ro-RO"/>
              </w:rPr>
            </w:pPr>
            <w:r w:rsidRPr="00B526BF">
              <w:rPr>
                <w:rFonts w:ascii="Times New Roman" w:hAnsi="Times New Roman"/>
                <w:lang w:val="ro-RO"/>
              </w:rPr>
              <w:t>Throughout the year, six scientific-practical conferences were organized, two of which had international participation: the EAN Regional Teaching Course, a workshop on implementing the Global Intersectoral Action Plan for epilepsy and other neurological disorders (IGAP), and a Neuroscience School for training students and resident physicians in the field of stroke and management of epilepsy, seizures, and anticonvulsant treatment. Advanced Video-EEG monitoring procedures were implemented for patients with refractory epilepsy, as well as neuroimaging registries and protocols for transcranial magnetic stimulation. An assessment sheet for patients with genetic epilepsy was developed, providing answers to all challenges in the treatment of these patients, with the possibility of detecting gene variants and biomarkers with predictive potential in establishing the diagnosis, therapeutic management, and evolution of familial epilepsy; a National Registry of patients with genetic epilepsy was developed. As a result, the obtained evidence will serve as a basis for improving the diagnostic algorithm and survival criteria for patients with epilepsy.</w:t>
            </w:r>
          </w:p>
          <w:p w14:paraId="11152EE6" w14:textId="77777777" w:rsidR="0006348C" w:rsidRPr="00B526BF" w:rsidRDefault="0006348C" w:rsidP="008126D5">
            <w:pPr>
              <w:spacing w:line="276" w:lineRule="auto"/>
              <w:jc w:val="both"/>
              <w:rPr>
                <w:rFonts w:ascii="Times New Roman" w:hAnsi="Times New Roman"/>
                <w:lang w:val="ro-RO"/>
              </w:rPr>
            </w:pPr>
            <w:r w:rsidRPr="00B526BF">
              <w:rPr>
                <w:rFonts w:ascii="Times New Roman" w:hAnsi="Times New Roman"/>
                <w:lang w:val="ro-RO"/>
              </w:rPr>
              <w:t>In the field of mental health, international collaborations were intensified through the signing of a memorandum with the Stanley Research Institute, USA. The Scientific Council approved the monograph entitled "Mental Health at a Distance". During 2024, the Brain Health and Bioethics Laboratory focused on analyzing the correlation between the level of brain health and the possibilities of involving the theoretical and applied capacities of bioethics regarding the perspective of improving certain psycho-somatic, behavioral, and cognitive states in people with neurological disorders.</w:t>
            </w:r>
          </w:p>
        </w:tc>
      </w:tr>
    </w:tbl>
    <w:p w14:paraId="58E7D010" w14:textId="77777777" w:rsidR="0006348C" w:rsidRDefault="0006348C" w:rsidP="0006348C">
      <w:pPr>
        <w:spacing w:after="120" w:line="276" w:lineRule="auto"/>
        <w:jc w:val="both"/>
        <w:rPr>
          <w:rFonts w:ascii="Times New Roman" w:hAnsi="Times New Roman"/>
          <w:b/>
          <w:i/>
          <w:sz w:val="24"/>
          <w:szCs w:val="24"/>
          <w:lang w:val="ro-RO"/>
        </w:rPr>
      </w:pPr>
    </w:p>
    <w:p w14:paraId="5025D08D" w14:textId="77777777" w:rsidR="0006348C" w:rsidRPr="00D61877" w:rsidRDefault="0006348C" w:rsidP="0006348C">
      <w:pPr>
        <w:spacing w:after="120" w:line="276" w:lineRule="auto"/>
        <w:jc w:val="both"/>
        <w:rPr>
          <w:rFonts w:ascii="Times New Roman" w:hAnsi="Times New Roman"/>
          <w:b/>
          <w:i/>
          <w:sz w:val="24"/>
          <w:szCs w:val="24"/>
          <w:lang w:val="ro-RO"/>
        </w:rPr>
      </w:pPr>
    </w:p>
    <w:p w14:paraId="55BE89C9" w14:textId="77777777" w:rsidR="0006348C" w:rsidRPr="00D61877" w:rsidRDefault="0006348C" w:rsidP="0006348C">
      <w:pPr>
        <w:spacing w:after="0" w:line="276" w:lineRule="auto"/>
        <w:rPr>
          <w:rFonts w:ascii="Times New Roman" w:hAnsi="Times New Roman"/>
          <w:color w:val="FF0000"/>
          <w:sz w:val="24"/>
          <w:szCs w:val="24"/>
          <w:lang w:val="ro-RO"/>
        </w:rPr>
      </w:pPr>
      <w:r w:rsidRPr="00D61877">
        <w:rPr>
          <w:rFonts w:ascii="Times New Roman" w:hAnsi="Times New Roman"/>
          <w:sz w:val="24"/>
          <w:szCs w:val="24"/>
          <w:lang w:val="ro-RO"/>
        </w:rPr>
        <w:t xml:space="preserve">Coordonatorul subprogramului                             </w:t>
      </w:r>
    </w:p>
    <w:p w14:paraId="09B8D8B0" w14:textId="77777777" w:rsidR="0006348C" w:rsidRDefault="0006348C" w:rsidP="0006348C">
      <w:pPr>
        <w:spacing w:after="120" w:line="276" w:lineRule="auto"/>
        <w:rPr>
          <w:rFonts w:ascii="Times New Roman" w:hAnsi="Times New Roman"/>
          <w:color w:val="FF0000"/>
          <w:sz w:val="24"/>
          <w:szCs w:val="24"/>
          <w:lang w:val="ro-RO"/>
        </w:rPr>
      </w:pPr>
      <w:r w:rsidRPr="00D61877">
        <w:rPr>
          <w:rFonts w:ascii="Times New Roman" w:hAnsi="Times New Roman"/>
          <w:sz w:val="24"/>
          <w:szCs w:val="24"/>
          <w:lang w:val="ro-RO"/>
        </w:rPr>
        <w:t>de cercetare</w:t>
      </w:r>
      <w:r w:rsidRPr="00D61877">
        <w:rPr>
          <w:rFonts w:ascii="Times New Roman" w:hAnsi="Times New Roman"/>
          <w:color w:val="FF0000"/>
          <w:sz w:val="24"/>
          <w:szCs w:val="24"/>
          <w:lang w:val="ro-RO"/>
        </w:rPr>
        <w:t xml:space="preserve"> </w:t>
      </w:r>
      <w:r w:rsidRPr="00D61877">
        <w:rPr>
          <w:rFonts w:ascii="Times New Roman" w:hAnsi="Times New Roman"/>
          <w:color w:val="FF0000"/>
          <w:sz w:val="24"/>
          <w:szCs w:val="24"/>
          <w:lang w:val="ro-RO"/>
        </w:rPr>
        <w:tab/>
      </w:r>
      <w:r w:rsidRPr="00D61877">
        <w:rPr>
          <w:rFonts w:ascii="Times New Roman" w:hAnsi="Times New Roman"/>
          <w:color w:val="FF0000"/>
          <w:sz w:val="24"/>
          <w:szCs w:val="24"/>
          <w:lang w:val="ro-RO"/>
        </w:rPr>
        <w:tab/>
      </w:r>
      <w:r w:rsidRPr="00D61877">
        <w:rPr>
          <w:rFonts w:ascii="Times New Roman" w:hAnsi="Times New Roman"/>
          <w:color w:val="FF0000"/>
          <w:sz w:val="24"/>
          <w:szCs w:val="24"/>
          <w:lang w:val="ro-RO"/>
        </w:rPr>
        <w:tab/>
        <w:t xml:space="preserve">         </w:t>
      </w:r>
      <w:r w:rsidRPr="0033073E">
        <w:t xml:space="preserve"> </w:t>
      </w:r>
      <w:r>
        <w:t xml:space="preserve">     </w:t>
      </w:r>
      <w:r w:rsidRPr="0033073E">
        <w:rPr>
          <w:rFonts w:ascii="Times New Roman" w:hAnsi="Times New Roman"/>
          <w:sz w:val="24"/>
          <w:szCs w:val="24"/>
          <w:lang w:val="ro-RO"/>
        </w:rPr>
        <w:t xml:space="preserve">GROPPA Stanislav              </w:t>
      </w:r>
      <w:r w:rsidRPr="00D61877">
        <w:rPr>
          <w:rFonts w:ascii="Times New Roman" w:hAnsi="Times New Roman"/>
          <w:sz w:val="24"/>
          <w:szCs w:val="24"/>
          <w:lang w:val="ro-RO"/>
        </w:rPr>
        <w:t xml:space="preserve">          </w:t>
      </w:r>
      <w:r>
        <w:rPr>
          <w:rFonts w:ascii="Times New Roman" w:hAnsi="Times New Roman"/>
          <w:sz w:val="24"/>
          <w:szCs w:val="24"/>
          <w:lang w:val="ro-RO"/>
        </w:rPr>
        <w:t xml:space="preserve">               </w:t>
      </w:r>
      <w:r w:rsidRPr="00D61877">
        <w:rPr>
          <w:rFonts w:ascii="Times New Roman" w:hAnsi="Times New Roman"/>
          <w:sz w:val="24"/>
          <w:szCs w:val="24"/>
          <w:lang w:val="ro-RO"/>
        </w:rPr>
        <w:t>_</w:t>
      </w:r>
      <w:r>
        <w:rPr>
          <w:rFonts w:ascii="Times New Roman" w:hAnsi="Times New Roman"/>
          <w:sz w:val="24"/>
          <w:szCs w:val="24"/>
          <w:lang w:val="ro-RO"/>
        </w:rPr>
        <w:t>____</w:t>
      </w:r>
      <w:r w:rsidRPr="00D61877">
        <w:rPr>
          <w:rFonts w:ascii="Times New Roman" w:hAnsi="Times New Roman"/>
          <w:sz w:val="24"/>
          <w:szCs w:val="24"/>
          <w:lang w:val="ro-RO"/>
        </w:rPr>
        <w:t>_______</w:t>
      </w:r>
      <w:r w:rsidRPr="00D61877">
        <w:rPr>
          <w:rFonts w:ascii="Times New Roman" w:hAnsi="Times New Roman"/>
          <w:color w:val="FF0000"/>
          <w:sz w:val="24"/>
          <w:szCs w:val="24"/>
          <w:lang w:val="ro-RO"/>
        </w:rPr>
        <w:tab/>
      </w:r>
      <w:r w:rsidRPr="00D61877">
        <w:rPr>
          <w:rFonts w:ascii="Times New Roman" w:hAnsi="Times New Roman"/>
          <w:color w:val="FF0000"/>
          <w:sz w:val="24"/>
          <w:szCs w:val="24"/>
          <w:lang w:val="ro-RO"/>
        </w:rPr>
        <w:tab/>
      </w:r>
    </w:p>
    <w:p w14:paraId="135D844C" w14:textId="77777777" w:rsidR="0006348C" w:rsidRPr="00D61877" w:rsidRDefault="0006348C" w:rsidP="0006348C">
      <w:pPr>
        <w:spacing w:after="120" w:line="276" w:lineRule="auto"/>
        <w:rPr>
          <w:rFonts w:ascii="Times New Roman" w:hAnsi="Times New Roman"/>
          <w:strike/>
          <w:szCs w:val="24"/>
          <w:lang w:val="ro-RO"/>
        </w:rPr>
      </w:pPr>
      <w:r w:rsidRPr="00D61877">
        <w:rPr>
          <w:rFonts w:ascii="Times New Roman" w:hAnsi="Times New Roman"/>
          <w:color w:val="FF0000"/>
          <w:sz w:val="24"/>
          <w:szCs w:val="24"/>
          <w:lang w:val="ro-RO"/>
        </w:rPr>
        <w:tab/>
        <w:t xml:space="preserve">                   </w:t>
      </w:r>
      <w:r w:rsidRPr="00D61877">
        <w:rPr>
          <w:rFonts w:ascii="Times New Roman" w:hAnsi="Times New Roman"/>
          <w:color w:val="FF0000"/>
          <w:sz w:val="24"/>
          <w:szCs w:val="24"/>
          <w:lang w:val="ro-RO"/>
        </w:rPr>
        <w:tab/>
      </w:r>
      <w:r w:rsidRPr="00D61877">
        <w:rPr>
          <w:rFonts w:ascii="Times New Roman" w:hAnsi="Times New Roman"/>
          <w:color w:val="FF0000"/>
          <w:sz w:val="24"/>
          <w:szCs w:val="24"/>
          <w:lang w:val="ro-RO"/>
        </w:rPr>
        <w:tab/>
      </w:r>
      <w:r w:rsidRPr="00D61877">
        <w:rPr>
          <w:rFonts w:ascii="Times New Roman" w:hAnsi="Times New Roman"/>
          <w:color w:val="FF0000"/>
          <w:sz w:val="24"/>
          <w:szCs w:val="24"/>
          <w:lang w:val="ro-RO"/>
        </w:rPr>
        <w:tab/>
      </w:r>
      <w:r w:rsidRPr="00D61877">
        <w:rPr>
          <w:rFonts w:ascii="Times New Roman" w:hAnsi="Times New Roman"/>
          <w:szCs w:val="24"/>
          <w:lang w:val="ro-RO"/>
        </w:rPr>
        <w:tab/>
      </w:r>
      <w:r w:rsidRPr="00D61877">
        <w:rPr>
          <w:rFonts w:ascii="Times New Roman" w:hAnsi="Times New Roman"/>
          <w:szCs w:val="24"/>
          <w:lang w:val="ro-RO"/>
        </w:rPr>
        <w:tab/>
      </w:r>
      <w:r w:rsidRPr="00D61877">
        <w:rPr>
          <w:rFonts w:ascii="Times New Roman" w:hAnsi="Times New Roman"/>
          <w:strike/>
          <w:szCs w:val="24"/>
          <w:lang w:val="ro-RO"/>
        </w:rPr>
        <w:t xml:space="preserve"> </w:t>
      </w:r>
    </w:p>
    <w:p w14:paraId="05A91F78" w14:textId="77777777" w:rsidR="0006348C" w:rsidRDefault="0006348C" w:rsidP="0006348C">
      <w:pPr>
        <w:spacing w:after="120" w:line="276" w:lineRule="auto"/>
        <w:rPr>
          <w:rFonts w:ascii="Times New Roman" w:eastAsia="Times New Roman" w:hAnsi="Times New Roman"/>
          <w:sz w:val="24"/>
          <w:szCs w:val="24"/>
          <w:lang w:val="ro-RO" w:eastAsia="ru-RU"/>
        </w:rPr>
      </w:pPr>
      <w:r w:rsidRPr="00D61877">
        <w:rPr>
          <w:rFonts w:ascii="Times New Roman" w:eastAsia="Times New Roman" w:hAnsi="Times New Roman"/>
          <w:sz w:val="24"/>
          <w:szCs w:val="24"/>
          <w:lang w:val="ro-RO" w:eastAsia="ru-RU"/>
        </w:rPr>
        <w:t xml:space="preserve">Data: _________________ </w:t>
      </w:r>
    </w:p>
    <w:p w14:paraId="198C9AB3" w14:textId="77777777" w:rsidR="008C1D5D" w:rsidRDefault="008C1D5D"/>
    <w:sectPr w:rsidR="008C1D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BC6"/>
    <w:rsid w:val="0006348C"/>
    <w:rsid w:val="001055D8"/>
    <w:rsid w:val="00171BC6"/>
    <w:rsid w:val="008C1D5D"/>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AE6FF"/>
  <w15:chartTrackingRefBased/>
  <w15:docId w15:val="{D0A88123-589A-4362-AB2A-17153F1C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48C"/>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6348C"/>
    <w:pPr>
      <w:widowControl w:val="0"/>
      <w:spacing w:after="0" w:line="240" w:lineRule="auto"/>
    </w:pPr>
    <w:rPr>
      <w:rFonts w:ascii="Microsoft Sans Serif" w:eastAsia="Microsoft Sans Serif" w:hAnsi="Microsoft Sans Serif" w:cs="Microsoft Sans Serif"/>
      <w:color w:val="000000"/>
      <w:sz w:val="24"/>
      <w:szCs w:val="24"/>
      <w:lang w:val="ro-RO" w:eastAsia="ro-RO" w:bidi="ro-RO"/>
    </w:rPr>
  </w:style>
  <w:style w:type="character" w:customStyle="1" w:styleId="a4">
    <w:name w:val="Без интервала Знак"/>
    <w:link w:val="a3"/>
    <w:uiPriority w:val="1"/>
    <w:locked/>
    <w:rsid w:val="0006348C"/>
    <w:rPr>
      <w:rFonts w:ascii="Microsoft Sans Serif" w:eastAsia="Microsoft Sans Serif" w:hAnsi="Microsoft Sans Serif" w:cs="Microsoft Sans Serif"/>
      <w:color w:val="000000"/>
      <w:sz w:val="24"/>
      <w:szCs w:val="24"/>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1111</Words>
  <Characters>6337</Characters>
  <Application>Microsoft Office Word</Application>
  <DocSecurity>0</DocSecurity>
  <Lines>52</Lines>
  <Paragraphs>14</Paragraphs>
  <ScaleCrop>false</ScaleCrop>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2025-01-30T12:18:00Z</dcterms:created>
  <dcterms:modified xsi:type="dcterms:W3CDTF">2025-01-31T12:24:00Z</dcterms:modified>
</cp:coreProperties>
</file>