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5C10" w14:textId="77777777" w:rsidR="00810F15" w:rsidRPr="00D61877" w:rsidRDefault="00810F15" w:rsidP="00810F15">
      <w:pPr>
        <w:keepNext/>
        <w:spacing w:after="120" w:line="276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val="ro-RO"/>
        </w:rPr>
      </w:pPr>
      <w:r w:rsidRPr="00D61877">
        <w:rPr>
          <w:rFonts w:ascii="Times New Roman" w:hAnsi="Times New Roman"/>
          <w:bCs/>
          <w:kern w:val="32"/>
          <w:sz w:val="24"/>
          <w:szCs w:val="24"/>
          <w:lang w:val="ro-RO"/>
        </w:rPr>
        <w:t>Anexa nr. 1</w:t>
      </w:r>
    </w:p>
    <w:p w14:paraId="1B28D311" w14:textId="77777777" w:rsidR="00810F15" w:rsidRPr="00D61877" w:rsidRDefault="00810F15" w:rsidP="00810F15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RO"/>
        </w:rPr>
      </w:pPr>
      <w:r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Rezumatul activității și a rezultatelor obținute în </w:t>
      </w:r>
      <w:r w:rsidRPr="00D61877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D61877">
        <w:rPr>
          <w:rFonts w:ascii="Times New Roman" w:hAnsi="Times New Roman"/>
          <w:b/>
          <w:bCs/>
          <w:kern w:val="32"/>
          <w:sz w:val="24"/>
          <w:szCs w:val="24"/>
          <w:lang w:val="ro-RO"/>
        </w:rPr>
        <w:t xml:space="preserve"> în anul 2024</w:t>
      </w:r>
    </w:p>
    <w:p w14:paraId="0835F365" w14:textId="77777777" w:rsidR="00810F15" w:rsidRPr="00246515" w:rsidRDefault="00810F15" w:rsidP="00810F15">
      <w:pPr>
        <w:pStyle w:val="NoSpacing"/>
        <w:spacing w:line="276" w:lineRule="auto"/>
        <w:rPr>
          <w:rFonts w:ascii="Times New Roman" w:hAnsi="Times New Roman"/>
          <w:b/>
          <w:bCs/>
          <w:u w:val="single"/>
        </w:rPr>
      </w:pPr>
      <w:r w:rsidRPr="00246515">
        <w:rPr>
          <w:rFonts w:ascii="Times New Roman" w:hAnsi="Times New Roman"/>
          <w:b/>
          <w:bCs/>
        </w:rPr>
        <w:t xml:space="preserve">              </w:t>
      </w:r>
      <w:proofErr w:type="spellStart"/>
      <w:r w:rsidRPr="00246515">
        <w:rPr>
          <w:rFonts w:ascii="Times New Roman" w:hAnsi="Times New Roman"/>
          <w:b/>
          <w:bCs/>
          <w:u w:val="single"/>
        </w:rPr>
        <w:t>Calcogenuri</w:t>
      </w:r>
      <w:proofErr w:type="spellEnd"/>
      <w:r w:rsidRPr="00246515">
        <w:rPr>
          <w:rFonts w:ascii="Times New Roman" w:hAnsi="Times New Roman"/>
          <w:b/>
          <w:bCs/>
          <w:u w:val="single"/>
        </w:rPr>
        <w:t xml:space="preserve"> sticloase și </w:t>
      </w:r>
      <w:proofErr w:type="spellStart"/>
      <w:r w:rsidRPr="00246515">
        <w:rPr>
          <w:rFonts w:ascii="Times New Roman" w:hAnsi="Times New Roman"/>
          <w:b/>
          <w:bCs/>
          <w:u w:val="single"/>
        </w:rPr>
        <w:t>nanocompozite</w:t>
      </w:r>
      <w:proofErr w:type="spellEnd"/>
      <w:r w:rsidRPr="00246515">
        <w:rPr>
          <w:rFonts w:ascii="Times New Roman" w:hAnsi="Times New Roman"/>
          <w:b/>
          <w:bCs/>
          <w:u w:val="single"/>
        </w:rPr>
        <w:t xml:space="preserve"> noi pentru voltaică și </w:t>
      </w:r>
      <w:proofErr w:type="spellStart"/>
      <w:r w:rsidRPr="00246515">
        <w:rPr>
          <w:rFonts w:ascii="Times New Roman" w:hAnsi="Times New Roman"/>
          <w:b/>
          <w:bCs/>
          <w:color w:val="auto"/>
          <w:u w:val="single"/>
          <w:lang w:val="en-US"/>
        </w:rPr>
        <w:t>optoelectronică</w:t>
      </w:r>
      <w:proofErr w:type="spellEnd"/>
      <w:r w:rsidRPr="00246515">
        <w:rPr>
          <w:rFonts w:ascii="Times New Roman" w:hAnsi="Times New Roman"/>
          <w:b/>
          <w:color w:val="auto"/>
          <w:lang w:val="en-US"/>
        </w:rPr>
        <w:t xml:space="preserve"> </w:t>
      </w:r>
    </w:p>
    <w:p w14:paraId="18C7105B" w14:textId="77777777" w:rsidR="00810F15" w:rsidRPr="00D61877" w:rsidRDefault="00810F15" w:rsidP="00810F15">
      <w:pPr>
        <w:pStyle w:val="NoSpacing"/>
        <w:spacing w:line="276" w:lineRule="auto"/>
        <w:jc w:val="center"/>
        <w:rPr>
          <w:rFonts w:ascii="Times New Roman" w:hAnsi="Times New Roman"/>
          <w:b/>
          <w:i/>
          <w:color w:val="auto"/>
          <w:sz w:val="20"/>
        </w:rPr>
      </w:pPr>
      <w:r w:rsidRPr="00D61877">
        <w:rPr>
          <w:rFonts w:ascii="Times New Roman" w:hAnsi="Times New Roman"/>
          <w:b/>
          <w:i/>
          <w:color w:val="auto"/>
          <w:sz w:val="20"/>
        </w:rPr>
        <w:t>(denumirea subprogramului)</w:t>
      </w:r>
    </w:p>
    <w:p w14:paraId="27CB4269" w14:textId="77777777" w:rsidR="00810F15" w:rsidRPr="00D61877" w:rsidRDefault="00810F15" w:rsidP="00810F15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D61877">
        <w:rPr>
          <w:rFonts w:ascii="Times New Roman" w:hAnsi="Times New Roman"/>
          <w:b/>
          <w:sz w:val="24"/>
          <w:szCs w:val="24"/>
          <w:lang w:val="ro-RO"/>
        </w:rPr>
        <w:t xml:space="preserve">Codul </w:t>
      </w:r>
      <w:r w:rsidRPr="00D61877">
        <w:rPr>
          <w:rFonts w:ascii="Times New Roman" w:hAnsi="Times New Roman"/>
          <w:b/>
          <w:color w:val="000000"/>
          <w:kern w:val="32"/>
          <w:sz w:val="24"/>
          <w:szCs w:val="24"/>
          <w:lang w:val="ro-RO"/>
        </w:rPr>
        <w:t>subprogram</w:t>
      </w:r>
      <w:r w:rsidRPr="00D61877">
        <w:rPr>
          <w:rFonts w:ascii="Times New Roman" w:hAnsi="Times New Roman"/>
          <w:b/>
          <w:sz w:val="24"/>
          <w:szCs w:val="24"/>
          <w:lang w:val="ro-RO"/>
        </w:rPr>
        <w:t>ului ____</w:t>
      </w:r>
      <w:r w:rsidRPr="008629D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ro-RO"/>
        </w:rPr>
        <w:t>021201</w:t>
      </w:r>
      <w:r w:rsidRPr="00D61877">
        <w:rPr>
          <w:rFonts w:ascii="Times New Roman" w:hAnsi="Times New Roman"/>
          <w:b/>
          <w:sz w:val="24"/>
          <w:szCs w:val="24"/>
          <w:lang w:val="ro-RO"/>
        </w:rPr>
        <w:t>____</w:t>
      </w:r>
    </w:p>
    <w:p w14:paraId="3BBF7755" w14:textId="77777777" w:rsidR="00810F15" w:rsidRPr="00D61877" w:rsidRDefault="00810F15" w:rsidP="00810F15">
      <w:pPr>
        <w:keepNext/>
        <w:spacing w:after="120" w:line="276" w:lineRule="auto"/>
        <w:outlineLvl w:val="0"/>
        <w:rPr>
          <w:rFonts w:ascii="Times New Roman" w:hAnsi="Times New Roman"/>
          <w:bCs/>
          <w:kern w:val="32"/>
          <w:sz w:val="24"/>
          <w:szCs w:val="24"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810F15" w:rsidRPr="00D61877" w14:paraId="294D5516" w14:textId="77777777" w:rsidTr="005E4FEB">
        <w:tc>
          <w:tcPr>
            <w:tcW w:w="9558" w:type="dxa"/>
            <w:shd w:val="clear" w:color="auto" w:fill="auto"/>
          </w:tcPr>
          <w:p w14:paraId="3B51D2C4" w14:textId="77777777" w:rsidR="00810F15" w:rsidRPr="00F65C9E" w:rsidRDefault="00810F15" w:rsidP="005E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ro-RO"/>
              </w:rPr>
            </w:pPr>
            <w:r w:rsidRPr="00F65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În cadrul implementării etapei 2024 a </w:t>
            </w:r>
            <w:r w:rsidRPr="00F65C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>subprogramului</w:t>
            </w:r>
            <w:r w:rsidRPr="00F65C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Pr="00F65C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de cercetare </w:t>
            </w:r>
            <w:r w:rsidRPr="00F65C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o-RO"/>
              </w:rPr>
              <w:t>021201</w:t>
            </w:r>
            <w:r w:rsidRPr="00F65C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F65C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„</w:t>
            </w:r>
            <w:proofErr w:type="spellStart"/>
            <w:r w:rsidRPr="00F65C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Calcogenuri</w:t>
            </w:r>
            <w:proofErr w:type="spellEnd"/>
            <w:r w:rsidRPr="00F65C9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 xml:space="preserve"> sticloase </w:t>
            </w:r>
            <w:r w:rsidRPr="00F65C9E">
              <w:rPr>
                <w:rFonts w:ascii="Times New Roman" w:eastAsia="Microsoft Sans Serif" w:hAnsi="Times New Roman" w:cs="Microsoft Sans Serif"/>
                <w:sz w:val="24"/>
                <w:szCs w:val="24"/>
                <w:u w:val="single"/>
                <w:lang w:val="ro-RO" w:eastAsia="ro-RO" w:bidi="ro-RO"/>
              </w:rPr>
              <w:t xml:space="preserve">și </w:t>
            </w:r>
            <w:proofErr w:type="spellStart"/>
            <w:r w:rsidRPr="00F65C9E">
              <w:rPr>
                <w:rFonts w:ascii="Times New Roman" w:eastAsia="Microsoft Sans Serif" w:hAnsi="Times New Roman" w:cs="Microsoft Sans Serif"/>
                <w:sz w:val="24"/>
                <w:szCs w:val="24"/>
                <w:u w:val="single"/>
                <w:lang w:val="ro-RO" w:eastAsia="ro-RO" w:bidi="ro-RO"/>
              </w:rPr>
              <w:t>nanocompozite</w:t>
            </w:r>
            <w:proofErr w:type="spellEnd"/>
            <w:r w:rsidRPr="00F65C9E">
              <w:rPr>
                <w:rFonts w:ascii="Times New Roman" w:eastAsia="Microsoft Sans Serif" w:hAnsi="Times New Roman" w:cs="Microsoft Sans Serif"/>
                <w:sz w:val="24"/>
                <w:szCs w:val="24"/>
                <w:u w:val="single"/>
                <w:lang w:val="ro-RO" w:eastAsia="ro-RO" w:bidi="ro-RO"/>
              </w:rPr>
              <w:t xml:space="preserve"> noi pentru voltaică și </w:t>
            </w:r>
            <w:r w:rsidRPr="00F65C9E">
              <w:rPr>
                <w:rFonts w:ascii="Times New Roman" w:hAnsi="Times New Roman"/>
                <w:sz w:val="24"/>
                <w:szCs w:val="24"/>
                <w:u w:val="single"/>
                <w:lang w:val="ro-RO" w:bidi="ro-RO"/>
              </w:rPr>
              <w:t>optoelectronică”</w:t>
            </w:r>
            <w:r w:rsidRPr="00F65C9E">
              <w:rPr>
                <w:rFonts w:ascii="Times New Roman" w:hAnsi="Times New Roman"/>
                <w:sz w:val="24"/>
                <w:szCs w:val="24"/>
                <w:lang w:val="ro-RO" w:bidi="ro-RO"/>
              </w:rPr>
              <w:t>,</w:t>
            </w:r>
            <w:r w:rsidRPr="00F65C9E">
              <w:rPr>
                <w:rFonts w:ascii="Times New Roman" w:hAnsi="Times New Roman"/>
                <w:sz w:val="24"/>
                <w:szCs w:val="24"/>
                <w:lang w:bidi="ro-RO"/>
              </w:rPr>
              <w:t xml:space="preserve"> 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a fost realizat calculul compozițional și elaborat regimul de sinteză prin metoda topirii în vid a materialelor </w:t>
            </w:r>
            <w:proofErr w:type="spellStart"/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calcogenice</w:t>
            </w:r>
            <w:proofErr w:type="spellEnd"/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sticloase din</w:t>
            </w:r>
            <w:r w:rsidRPr="00F65C9E">
              <w:rPr>
                <w:bCs/>
                <w:sz w:val="24"/>
                <w:szCs w:val="24"/>
              </w:rPr>
              <w:t xml:space="preserve"> 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secțiunea </w:t>
            </w:r>
            <w:proofErr w:type="spellStart"/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echimolară</w:t>
            </w:r>
            <w:proofErr w:type="spellEnd"/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 Ge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x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As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x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 xml:space="preserve">100-2x  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și (AsS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3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)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x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(GeS4)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ro-RO"/>
              </w:rPr>
              <w:t>1-x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în care exist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ă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faze intermediare. Ulterior, acest regim termic a fost utilizat pentru sinteza a dou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ă</w:t>
            </w:r>
            <w:r w:rsidRPr="00F65C9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compoziții 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Ge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11.1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As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11.1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S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77.8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 xml:space="preserve"> și Ge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33,3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As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33.3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S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33.3,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echimolare</w:t>
            </w:r>
            <w:proofErr w:type="spellEnd"/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 xml:space="preserve">, precum 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și al altelor două Ge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vertAlign w:val="subscript"/>
                <w:lang w:val="ro-RO"/>
              </w:rPr>
              <w:t xml:space="preserve">37,5 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As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vertAlign w:val="subscript"/>
                <w:lang w:val="ro-RO"/>
              </w:rPr>
              <w:t>25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S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vertAlign w:val="subscript"/>
                <w:lang w:val="ro-RO"/>
              </w:rPr>
              <w:t>37,5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vertAlign w:val="subscript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și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 xml:space="preserve"> 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Ge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29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As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42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lang w:val="ro-RO"/>
              </w:rPr>
              <w:t>S</w:t>
            </w:r>
            <w:r w:rsidRPr="00F65C9E"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>29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vertAlign w:val="subscript"/>
                <w:lang w:val="ro-RO"/>
              </w:rPr>
              <w:t xml:space="preserve">, 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care sunt aferente acestei secțiuni, dar au același num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ă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r mediu de coord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onare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 xml:space="preserve"> al atomilor 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&gt; =3,0.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 xml:space="preserve"> A fost realizat studiul compoziției </w:t>
            </w:r>
            <w:proofErr w:type="spellStart"/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elemen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t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l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e</w:t>
            </w:r>
            <w:proofErr w:type="spellEnd"/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 xml:space="preserve"> (EDX) al materialelor </w:t>
            </w:r>
            <w:proofErr w:type="spellStart"/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>calcogenice</w:t>
            </w:r>
            <w:proofErr w:type="spellEnd"/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 xml:space="preserve"> sintetizate, prin care s-a stabilit că în limita erorii  experimentale (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1÷2 % at.)</w:t>
            </w:r>
            <w:r w:rsidRPr="00F65C9E">
              <w:rPr>
                <w:rFonts w:ascii="Times New Roman" w:hAnsi="Times New Roman"/>
                <w:bCs/>
                <w:spacing w:val="-2"/>
                <w:sz w:val="24"/>
                <w:szCs w:val="24"/>
                <w:lang w:val="ro-RO"/>
              </w:rPr>
              <w:t xml:space="preserve"> se atestă o </w:t>
            </w:r>
            <w:r w:rsidRPr="00F65C9E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ro-RO"/>
              </w:rPr>
              <w:t>corelație  satisf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ro-RO"/>
              </w:rPr>
              <w:t>ă</w:t>
            </w:r>
            <w:r w:rsidRPr="00F65C9E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ro-RO"/>
              </w:rPr>
              <w:t>cătoare cu  calculele  impuse anterior pentru sintetizare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ro-RO"/>
              </w:rPr>
              <w:t>.</w:t>
            </w:r>
            <w:r w:rsidRPr="00F65C9E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ro-RO"/>
              </w:rPr>
              <w:t xml:space="preserve"> A fost </w:t>
            </w:r>
          </w:p>
          <w:p w14:paraId="4D0F8FB4" w14:textId="77777777" w:rsidR="00810F15" w:rsidRPr="00F65C9E" w:rsidRDefault="00810F15" w:rsidP="005E4FEB">
            <w:pPr>
              <w:pStyle w:val="NormalWeb"/>
              <w:ind w:firstLine="0"/>
              <w:rPr>
                <w:lang w:val="ro-MD"/>
              </w:rPr>
            </w:pPr>
            <w:r w:rsidRPr="00F65C9E">
              <w:rPr>
                <w:bCs/>
                <w:spacing w:val="-2"/>
                <w:lang w:val="ro-MD"/>
              </w:rPr>
              <w:t xml:space="preserve">dezvoltată o metodă chimică nouă de sinteză a 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nanocompozitelor</w:t>
            </w:r>
            <w:proofErr w:type="spellEnd"/>
            <w:r w:rsidRPr="00F65C9E">
              <w:rPr>
                <w:bCs/>
                <w:spacing w:val="-2"/>
                <w:lang w:val="ro-RO"/>
              </w:rPr>
              <w:t xml:space="preserve"> teluroase</w:t>
            </w:r>
            <w:r>
              <w:rPr>
                <w:bCs/>
                <w:spacing w:val="-2"/>
                <w:lang w:val="ro-RO"/>
              </w:rPr>
              <w:t xml:space="preserve"> </w:t>
            </w:r>
            <w:r w:rsidRPr="000A74ED">
              <w:rPr>
                <w:bCs/>
                <w:spacing w:val="-2"/>
                <w:lang w:val="ro-RO"/>
              </w:rPr>
              <w:t>(Te-SnO</w:t>
            </w:r>
            <w:r w:rsidRPr="000A74ED">
              <w:rPr>
                <w:bCs/>
                <w:spacing w:val="-2"/>
                <w:vertAlign w:val="subscript"/>
                <w:lang w:val="ro-RO"/>
              </w:rPr>
              <w:t>2</w:t>
            </w:r>
            <w:r>
              <w:rPr>
                <w:bCs/>
                <w:spacing w:val="-2"/>
                <w:vertAlign w:val="subscript"/>
                <w:lang w:val="ro-RO"/>
              </w:rPr>
              <w:t xml:space="preserve"> </w:t>
            </w:r>
            <w:r w:rsidRPr="000A74ED">
              <w:rPr>
                <w:bCs/>
                <w:spacing w:val="-2"/>
                <w:lang w:val="ro-RO"/>
              </w:rPr>
              <w:t>și</w:t>
            </w:r>
            <w:r>
              <w:rPr>
                <w:bCs/>
                <w:spacing w:val="-2"/>
                <w:vertAlign w:val="subscript"/>
                <w:lang w:val="ro-RO"/>
              </w:rPr>
              <w:t xml:space="preserve"> </w:t>
            </w:r>
            <w:r w:rsidRPr="00F65C9E">
              <w:rPr>
                <w:bCs/>
                <w:spacing w:val="-2"/>
                <w:lang w:val="ro-RO"/>
              </w:rPr>
              <w:t>Te - NaNO</w:t>
            </w:r>
            <w:r w:rsidRPr="00F65C9E">
              <w:rPr>
                <w:bCs/>
                <w:spacing w:val="-2"/>
                <w:vertAlign w:val="subscript"/>
                <w:lang w:val="ro-RO"/>
              </w:rPr>
              <w:t>3</w:t>
            </w:r>
            <w:r w:rsidRPr="000A74ED">
              <w:rPr>
                <w:bCs/>
                <w:spacing w:val="-2"/>
                <w:lang w:val="ro-RO"/>
              </w:rPr>
              <w:t>)</w:t>
            </w:r>
            <w:r w:rsidRPr="00F65C9E">
              <w:rPr>
                <w:bCs/>
                <w:spacing w:val="-2"/>
                <w:lang w:val="ro-RO"/>
              </w:rPr>
              <w:t>, bazate pe</w:t>
            </w:r>
            <w:r>
              <w:rPr>
                <w:bCs/>
                <w:spacing w:val="-2"/>
                <w:lang w:val="ro-RO"/>
              </w:rPr>
              <w:t xml:space="preserve"> reacții </w:t>
            </w:r>
            <w:proofErr w:type="spellStart"/>
            <w:r>
              <w:rPr>
                <w:bCs/>
                <w:spacing w:val="-2"/>
                <w:lang w:val="ro-RO"/>
              </w:rPr>
              <w:t>solvotermale</w:t>
            </w:r>
            <w:proofErr w:type="spellEnd"/>
            <w:r>
              <w:rPr>
                <w:bCs/>
                <w:spacing w:val="-2"/>
                <w:lang w:val="ro-RO"/>
              </w:rPr>
              <w:t xml:space="preserve"> cu </w:t>
            </w:r>
            <w:r w:rsidRPr="00F65C9E">
              <w:rPr>
                <w:bCs/>
                <w:spacing w:val="-2"/>
                <w:lang w:val="ro-RO"/>
              </w:rPr>
              <w:t xml:space="preserve">săruri de clorură de staniu ori </w:t>
            </w:r>
            <w:r>
              <w:rPr>
                <w:bCs/>
                <w:spacing w:val="-2"/>
                <w:lang w:val="ro-RO"/>
              </w:rPr>
              <w:t xml:space="preserve">cele de </w:t>
            </w:r>
            <w:r w:rsidRPr="00F65C9E">
              <w:rPr>
                <w:bCs/>
                <w:spacing w:val="-2"/>
                <w:lang w:val="ro-RO"/>
              </w:rPr>
              <w:t>nitrat de sodiu</w:t>
            </w:r>
            <w:r>
              <w:rPr>
                <w:bCs/>
                <w:spacing w:val="-2"/>
                <w:lang w:val="ro-RO"/>
              </w:rPr>
              <w:t>.</w:t>
            </w:r>
            <w:r w:rsidRPr="00F65C9E">
              <w:rPr>
                <w:bCs/>
                <w:spacing w:val="-2"/>
                <w:lang w:val="ro-RO"/>
              </w:rPr>
              <w:t xml:space="preserve"> Prima etapă a </w:t>
            </w:r>
            <w:proofErr w:type="spellStart"/>
            <w:r w:rsidRPr="00F65C9E">
              <w:rPr>
                <w:bCs/>
                <w:spacing w:val="-2"/>
                <w:lang w:val="ro-RO"/>
              </w:rPr>
              <w:t>aceastei</w:t>
            </w:r>
            <w:proofErr w:type="spellEnd"/>
            <w:r w:rsidRPr="00F65C9E">
              <w:rPr>
                <w:bCs/>
                <w:spacing w:val="-2"/>
                <w:lang w:val="ro-RO"/>
              </w:rPr>
              <w:t xml:space="preserve"> m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etode</w:t>
            </w:r>
            <w:proofErr w:type="spellEnd"/>
            <w:r w:rsidRPr="00F65C9E">
              <w:rPr>
                <w:bCs/>
                <w:spacing w:val="-2"/>
                <w:lang w:val="ro-MD"/>
              </w:rPr>
              <w:t xml:space="preserve"> este aceeași pentru sinteza ambelor 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nanocompozite</w:t>
            </w:r>
            <w:proofErr w:type="spellEnd"/>
            <w:r w:rsidRPr="00F65C9E">
              <w:rPr>
                <w:bCs/>
                <w:spacing w:val="-2"/>
                <w:lang w:val="ro-MD"/>
              </w:rPr>
              <w:t xml:space="preserve">  menționate. Ea implică recristalizarea 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solvotermală</w:t>
            </w:r>
            <w:proofErr w:type="spellEnd"/>
            <w:r w:rsidRPr="00F65C9E">
              <w:rPr>
                <w:bCs/>
                <w:spacing w:val="-2"/>
                <w:lang w:val="ro-MD"/>
              </w:rPr>
              <w:t xml:space="preserve"> a pulberii de telur (puritate 99,9 %) în acid azotic, finalizată cu obținerea unei soluții de acid teluros și dioxid de telur.</w:t>
            </w:r>
            <w:r w:rsidRPr="00F65C9E">
              <w:rPr>
                <w:bCs/>
                <w:spacing w:val="-2"/>
                <w:lang w:val="ro-RO"/>
              </w:rPr>
              <w:t xml:space="preserve"> Ulterior, dac</w:t>
            </w:r>
            <w:r>
              <w:rPr>
                <w:bCs/>
                <w:spacing w:val="-2"/>
                <w:lang w:val="ro-RO"/>
              </w:rPr>
              <w:t>ă</w:t>
            </w:r>
            <w:r w:rsidRPr="00F65C9E">
              <w:rPr>
                <w:bCs/>
                <w:spacing w:val="-2"/>
                <w:lang w:val="ro-MD"/>
              </w:rPr>
              <w:t xml:space="preserve"> </w:t>
            </w:r>
            <w:r>
              <w:rPr>
                <w:bCs/>
                <w:spacing w:val="-2"/>
                <w:lang w:val="ro-MD"/>
              </w:rPr>
              <w:t>î</w:t>
            </w:r>
            <w:r w:rsidRPr="00F65C9E">
              <w:rPr>
                <w:bCs/>
                <w:spacing w:val="-2"/>
                <w:lang w:val="ro-RO"/>
              </w:rPr>
              <w:t>n această soluție se adaugă (</w:t>
            </w:r>
            <w:r w:rsidRPr="00F65C9E">
              <w:rPr>
                <w:bCs/>
                <w:spacing w:val="-2"/>
                <w:lang w:val="ro-MD"/>
              </w:rPr>
              <w:t>agitând puternic)</w:t>
            </w:r>
            <w:r w:rsidRPr="00F65C9E">
              <w:rPr>
                <w:bCs/>
                <w:spacing w:val="-2"/>
                <w:lang w:val="ro-RO"/>
              </w:rPr>
              <w:t xml:space="preserve"> 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dithionit</w:t>
            </w:r>
            <w:proofErr w:type="spellEnd"/>
            <w:r w:rsidRPr="00F65C9E">
              <w:rPr>
                <w:bCs/>
                <w:spacing w:val="-2"/>
                <w:lang w:val="ro-MD"/>
              </w:rPr>
              <w:t xml:space="preserve"> de sodiu (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Na₂S₂O</w:t>
            </w:r>
            <w:proofErr w:type="spellEnd"/>
            <w:r w:rsidRPr="00F65C9E">
              <w:rPr>
                <w:bCs/>
                <w:spacing w:val="-2"/>
                <w:lang w:val="ro-MD"/>
              </w:rPr>
              <w:t xml:space="preserve">₄),  se produce o 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racție</w:t>
            </w:r>
            <w:proofErr w:type="spellEnd"/>
            <w:r w:rsidRPr="00F65C9E">
              <w:rPr>
                <w:bCs/>
                <w:spacing w:val="-2"/>
                <w:lang w:val="ro-MD"/>
              </w:rPr>
              <w:t xml:space="preserve"> chimică, </w:t>
            </w:r>
            <w:r>
              <w:rPr>
                <w:bCs/>
                <w:spacing w:val="-2"/>
                <w:lang w:val="ro-MD"/>
              </w:rPr>
              <w:t>î</w:t>
            </w:r>
            <w:r w:rsidRPr="00F65C9E">
              <w:rPr>
                <w:bCs/>
                <w:spacing w:val="-2"/>
                <w:lang w:val="ro-MD"/>
              </w:rPr>
              <w:t>n care are loc  red</w:t>
            </w:r>
            <w:r>
              <w:rPr>
                <w:bCs/>
                <w:spacing w:val="-2"/>
                <w:lang w:val="ro-MD"/>
              </w:rPr>
              <w:t>u</w:t>
            </w:r>
            <w:r w:rsidRPr="00F65C9E">
              <w:rPr>
                <w:bCs/>
                <w:spacing w:val="-2"/>
                <w:lang w:val="ro-MD"/>
              </w:rPr>
              <w:t>cerea acidului teluros</w:t>
            </w:r>
            <w:r w:rsidRPr="00F65C9E">
              <w:rPr>
                <w:bCs/>
                <w:i/>
                <w:iCs/>
                <w:spacing w:val="-2"/>
                <w:lang w:val="ro-MD"/>
              </w:rPr>
              <w:t xml:space="preserve"> </w:t>
            </w:r>
            <w:r w:rsidRPr="00F65C9E">
              <w:rPr>
                <w:bCs/>
                <w:spacing w:val="-2"/>
                <w:lang w:val="ro-MD"/>
              </w:rPr>
              <w:t>(H</w:t>
            </w:r>
            <w:r w:rsidRPr="00F65C9E">
              <w:rPr>
                <w:bCs/>
                <w:spacing w:val="-2"/>
                <w:vertAlign w:val="subscript"/>
                <w:lang w:val="ro-MD"/>
              </w:rPr>
              <w:t>2</w:t>
            </w:r>
            <w:r w:rsidRPr="00F65C9E">
              <w:rPr>
                <w:bCs/>
                <w:spacing w:val="-2"/>
                <w:lang w:val="ro-MD"/>
              </w:rPr>
              <w:t>TeO</w:t>
            </w:r>
            <w:r w:rsidRPr="00F65C9E">
              <w:rPr>
                <w:bCs/>
                <w:spacing w:val="-2"/>
                <w:vertAlign w:val="subscript"/>
                <w:lang w:val="ro-MD"/>
              </w:rPr>
              <w:t>3</w:t>
            </w:r>
            <w:r w:rsidRPr="00F65C9E">
              <w:rPr>
                <w:bCs/>
                <w:spacing w:val="-2"/>
                <w:lang w:val="ro-MD"/>
              </w:rPr>
              <w:t>) și a dioxidului de telur (TeO</w:t>
            </w:r>
            <w:r w:rsidRPr="00F65C9E">
              <w:rPr>
                <w:bCs/>
                <w:spacing w:val="-2"/>
                <w:vertAlign w:val="subscript"/>
                <w:lang w:val="ro-MD"/>
              </w:rPr>
              <w:t>2</w:t>
            </w:r>
            <w:r w:rsidRPr="00F65C9E">
              <w:rPr>
                <w:bCs/>
                <w:spacing w:val="-2"/>
                <w:lang w:val="ro-MD"/>
              </w:rPr>
              <w:t>)</w:t>
            </w:r>
            <w:r>
              <w:rPr>
                <w:bCs/>
                <w:spacing w:val="-2"/>
                <w:lang w:val="ro-MD"/>
              </w:rPr>
              <w:t>,</w:t>
            </w:r>
            <w:r w:rsidRPr="00F65C9E">
              <w:rPr>
                <w:bCs/>
                <w:spacing w:val="-2"/>
                <w:lang w:val="ro-MD"/>
              </w:rPr>
              <w:t xml:space="preserve"> însoțită de formarea clusterelor de telur 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nanodimensional</w:t>
            </w:r>
            <w:proofErr w:type="spellEnd"/>
            <w:r w:rsidRPr="00F65C9E">
              <w:rPr>
                <w:bCs/>
                <w:spacing w:val="-2"/>
                <w:lang w:val="ro-MD"/>
              </w:rPr>
              <w:t>, într-o soluție apoasă de sulfat de sodiu (</w:t>
            </w:r>
            <w:proofErr w:type="spellStart"/>
            <w:r w:rsidRPr="00F65C9E">
              <w:rPr>
                <w:bCs/>
                <w:spacing w:val="-2"/>
                <w:lang w:val="ro-MD"/>
              </w:rPr>
              <w:t>Na₂SO</w:t>
            </w:r>
            <w:proofErr w:type="spellEnd"/>
            <w:r w:rsidRPr="00F65C9E">
              <w:rPr>
                <w:bCs/>
                <w:spacing w:val="-2"/>
                <w:lang w:val="ro-MD"/>
              </w:rPr>
              <w:t>₄).</w:t>
            </w:r>
            <w:r w:rsidRPr="00F65C9E">
              <w:rPr>
                <w:rFonts w:ascii="Calibri" w:eastAsia="Calibri" w:hAnsi="Calibri"/>
                <w:lang w:val="ro-MD"/>
              </w:rPr>
              <w:t xml:space="preserve"> 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>Analiz</w:t>
            </w:r>
            <w:r>
              <w:rPr>
                <w:rFonts w:eastAsia="Calibri"/>
                <w:bCs/>
                <w:spacing w:val="-2"/>
                <w:lang w:val="ro-MD"/>
              </w:rPr>
              <w:t>a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 </w:t>
            </w:r>
            <w:r w:rsidRPr="00F65C9E">
              <w:rPr>
                <w:bCs/>
                <w:spacing w:val="-2"/>
                <w:lang w:val="ro-MD"/>
              </w:rPr>
              <w:t>electronografic</w:t>
            </w:r>
            <w:r>
              <w:rPr>
                <w:bCs/>
                <w:spacing w:val="-2"/>
                <w:lang w:val="ro-MD"/>
              </w:rPr>
              <w:t>ă</w:t>
            </w:r>
            <w:r w:rsidRPr="00F65C9E">
              <w:rPr>
                <w:bCs/>
                <w:spacing w:val="-2"/>
                <w:lang w:val="ro-MD"/>
              </w:rPr>
              <w:t xml:space="preserve"> (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>SEM</w:t>
            </w:r>
            <w:r w:rsidRPr="00F65C9E">
              <w:rPr>
                <w:bCs/>
                <w:spacing w:val="-2"/>
                <w:lang w:val="ro-MD"/>
              </w:rPr>
              <w:t xml:space="preserve">) </w:t>
            </w:r>
            <w:r w:rsidRPr="00F65C9E">
              <w:rPr>
                <w:bCs/>
                <w:spacing w:val="-2"/>
                <w:lang w:val="ro-RO"/>
              </w:rPr>
              <w:t>și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 </w:t>
            </w:r>
            <w:r w:rsidRPr="00F65C9E">
              <w:rPr>
                <w:rFonts w:eastAsia="Calibri"/>
                <w:bCs/>
                <w:spacing w:val="-2"/>
                <w:lang w:val="ro-RO"/>
              </w:rPr>
              <w:t>spectroscopică cu energie dispersivă a razelor X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 (EDX</w:t>
            </w:r>
            <w:r w:rsidRPr="00F65C9E">
              <w:rPr>
                <w:bCs/>
                <w:spacing w:val="-2"/>
                <w:lang w:val="ro-MD"/>
              </w:rPr>
              <w:t xml:space="preserve">) 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a arătat că </w:t>
            </w:r>
            <w:proofErr w:type="spellStart"/>
            <w:r w:rsidRPr="00F65C9E">
              <w:rPr>
                <w:rFonts w:eastAsia="Calibri"/>
                <w:bCs/>
                <w:spacing w:val="-2"/>
                <w:lang w:val="ro-MD"/>
              </w:rPr>
              <w:t>nanocompozitele</w:t>
            </w:r>
            <w:proofErr w:type="spellEnd"/>
            <w:r w:rsidRPr="00F65C9E">
              <w:rPr>
                <w:bCs/>
                <w:spacing w:val="-2"/>
                <w:lang w:val="ro-MD"/>
              </w:rPr>
              <w:t xml:space="preserve"> </w:t>
            </w:r>
            <w:r w:rsidRPr="00F65C9E">
              <w:rPr>
                <w:bCs/>
                <w:spacing w:val="-2"/>
                <w:lang w:val="ro-RO"/>
              </w:rPr>
              <w:t>Te - NaNO</w:t>
            </w:r>
            <w:r w:rsidRPr="00F65C9E">
              <w:rPr>
                <w:bCs/>
                <w:spacing w:val="-2"/>
                <w:vertAlign w:val="subscript"/>
                <w:lang w:val="ro-RO"/>
              </w:rPr>
              <w:t xml:space="preserve">3 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constau din </w:t>
            </w:r>
            <w:proofErr w:type="spellStart"/>
            <w:r w:rsidRPr="00F65C9E">
              <w:rPr>
                <w:rFonts w:eastAsia="Calibri"/>
                <w:bCs/>
                <w:spacing w:val="-2"/>
                <w:lang w:val="ro-MD"/>
              </w:rPr>
              <w:t>nanofi</w:t>
            </w:r>
            <w:r>
              <w:rPr>
                <w:rFonts w:eastAsia="Calibri"/>
                <w:bCs/>
                <w:spacing w:val="-2"/>
                <w:lang w:val="ro-MD"/>
              </w:rPr>
              <w:t>b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>re</w:t>
            </w:r>
            <w:proofErr w:type="spellEnd"/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 cu diametru</w:t>
            </w:r>
            <w:r w:rsidRPr="00F65C9E">
              <w:rPr>
                <w:bCs/>
                <w:spacing w:val="-2"/>
                <w:lang w:val="ro-MD"/>
              </w:rPr>
              <w:t>l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 de 100 nm și lungim</w:t>
            </w:r>
            <w:r>
              <w:rPr>
                <w:rFonts w:eastAsia="Calibri"/>
                <w:bCs/>
                <w:spacing w:val="-2"/>
                <w:lang w:val="ro-MD"/>
              </w:rPr>
              <w:t>ea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 de până la 1,0 </w:t>
            </w:r>
            <w:r w:rsidRPr="00F65C9E">
              <w:rPr>
                <w:bCs/>
                <w:spacing w:val="-2"/>
                <w:lang w:val="ro-MD"/>
              </w:rPr>
              <w:t xml:space="preserve">µm, precum  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>și</w:t>
            </w:r>
            <w:r w:rsidRPr="00F65C9E">
              <w:rPr>
                <w:bCs/>
                <w:spacing w:val="-2"/>
                <w:lang w:val="ro-MD"/>
              </w:rPr>
              <w:t xml:space="preserve"> micro / </w:t>
            </w:r>
            <w:proofErr w:type="spellStart"/>
            <w:r w:rsidRPr="00F65C9E">
              <w:rPr>
                <w:rFonts w:eastAsia="Calibri"/>
                <w:bCs/>
                <w:spacing w:val="-2"/>
                <w:lang w:val="ro-MD"/>
              </w:rPr>
              <w:t>nano</w:t>
            </w:r>
            <w:r w:rsidRPr="00F65C9E">
              <w:rPr>
                <w:bCs/>
                <w:spacing w:val="-2"/>
                <w:lang w:val="ro-MD"/>
              </w:rPr>
              <w:t>blocuri</w:t>
            </w:r>
            <w:proofErr w:type="spellEnd"/>
            <w:r w:rsidRPr="00F65C9E">
              <w:rPr>
                <w:rFonts w:eastAsia="Calibri"/>
                <w:bCs/>
                <w:spacing w:val="-2"/>
                <w:lang w:val="ro-MD"/>
              </w:rPr>
              <w:t xml:space="preserve"> de 100</w:t>
            </w:r>
            <w:r w:rsidRPr="00F65C9E">
              <w:rPr>
                <w:bCs/>
                <w:spacing w:val="-2"/>
                <w:lang w:val="ro-MD"/>
              </w:rPr>
              <w:t xml:space="preserve"> 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>-</w:t>
            </w:r>
            <w:r w:rsidRPr="00F65C9E">
              <w:rPr>
                <w:bCs/>
                <w:spacing w:val="-2"/>
                <w:lang w:val="ro-MD"/>
              </w:rPr>
              <w:t xml:space="preserve"> </w:t>
            </w:r>
            <w:r w:rsidRPr="00F65C9E">
              <w:rPr>
                <w:rFonts w:eastAsia="Calibri"/>
                <w:bCs/>
                <w:spacing w:val="-2"/>
                <w:lang w:val="ro-MD"/>
              </w:rPr>
              <w:t>300 n</w:t>
            </w:r>
            <w:r w:rsidRPr="00F65C9E">
              <w:rPr>
                <w:bCs/>
                <w:spacing w:val="-2"/>
                <w:lang w:val="ro-MD"/>
              </w:rPr>
              <w:t>m</w:t>
            </w:r>
            <w:r w:rsidRPr="00F65C9E">
              <w:rPr>
                <w:lang w:val="ro-MD"/>
              </w:rPr>
              <w:t xml:space="preserve"> formate din telur, sodiu, oxigen și azot, în care telurul </w:t>
            </w:r>
            <w:r>
              <w:rPr>
                <w:lang w:val="ro-MD"/>
              </w:rPr>
              <w:t xml:space="preserve">constituie </w:t>
            </w:r>
            <w:r w:rsidRPr="0093052C">
              <w:rPr>
                <w:lang w:val="ro-MD"/>
              </w:rPr>
              <w:t>~</w:t>
            </w:r>
            <w:r>
              <w:rPr>
                <w:lang w:val="ro-MD"/>
              </w:rPr>
              <w:t xml:space="preserve"> </w:t>
            </w:r>
            <w:r w:rsidRPr="00F65C9E">
              <w:rPr>
                <w:lang w:val="ro-MD"/>
              </w:rPr>
              <w:t xml:space="preserve">35 % at. </w:t>
            </w:r>
            <w:r w:rsidRPr="00F65C9E">
              <w:rPr>
                <w:lang w:val="ro-RO"/>
              </w:rPr>
              <w:t>Dator</w:t>
            </w:r>
            <w:r>
              <w:rPr>
                <w:lang w:val="ro-RO"/>
              </w:rPr>
              <w:t>i</w:t>
            </w:r>
            <w:r w:rsidRPr="00F65C9E">
              <w:rPr>
                <w:lang w:val="ro-RO"/>
              </w:rPr>
              <w:t xml:space="preserve">tă combinării la nivel </w:t>
            </w:r>
            <w:proofErr w:type="spellStart"/>
            <w:r w:rsidRPr="00F65C9E">
              <w:rPr>
                <w:lang w:val="ro-RO"/>
              </w:rPr>
              <w:t>nanometric</w:t>
            </w:r>
            <w:proofErr w:type="spellEnd"/>
            <w:r w:rsidRPr="00F65C9E">
              <w:rPr>
                <w:lang w:val="ro-RO"/>
              </w:rPr>
              <w:t xml:space="preserve"> al </w:t>
            </w:r>
            <w:proofErr w:type="spellStart"/>
            <w:r w:rsidRPr="00F65C9E">
              <w:rPr>
                <w:lang w:val="ro-RO"/>
              </w:rPr>
              <w:t>teluriului</w:t>
            </w:r>
            <w:proofErr w:type="spellEnd"/>
            <w:r w:rsidRPr="00F65C9E">
              <w:rPr>
                <w:lang w:val="ro-RO"/>
              </w:rPr>
              <w:t xml:space="preserve"> cu conductiv</w:t>
            </w:r>
            <w:r>
              <w:rPr>
                <w:lang w:val="ro-RO"/>
              </w:rPr>
              <w:t>i</w:t>
            </w:r>
            <w:r w:rsidRPr="00F65C9E">
              <w:rPr>
                <w:lang w:val="ro-RO"/>
              </w:rPr>
              <w:t>tate electroni</w:t>
            </w:r>
            <w:r>
              <w:rPr>
                <w:lang w:val="ro-RO"/>
              </w:rPr>
              <w:t>c</w:t>
            </w:r>
            <w:r w:rsidRPr="00F65C9E">
              <w:rPr>
                <w:lang w:val="ro-RO"/>
              </w:rPr>
              <w:t>ă și al n</w:t>
            </w:r>
            <w:r>
              <w:rPr>
                <w:lang w:val="ro-RO"/>
              </w:rPr>
              <w:t>i</w:t>
            </w:r>
            <w:r w:rsidRPr="00F65C9E">
              <w:rPr>
                <w:lang w:val="ro-RO"/>
              </w:rPr>
              <w:t xml:space="preserve">tratului de sodiu cu conductivitate ionică, </w:t>
            </w:r>
            <w:r w:rsidRPr="00F65C9E">
              <w:rPr>
                <w:lang w:val="ro-MD"/>
              </w:rPr>
              <w:t xml:space="preserve">se deschide </w:t>
            </w:r>
            <w:r w:rsidRPr="00F65C9E">
              <w:rPr>
                <w:bCs/>
                <w:lang w:val="ro-MD"/>
              </w:rPr>
              <w:t xml:space="preserve">oportunitatea de a realiza materiale de </w:t>
            </w:r>
            <w:proofErr w:type="spellStart"/>
            <w:r w:rsidRPr="00F65C9E">
              <w:rPr>
                <w:bCs/>
                <w:lang w:val="ro-MD"/>
              </w:rPr>
              <w:t>perspedtivă</w:t>
            </w:r>
            <w:proofErr w:type="spellEnd"/>
            <w:r w:rsidRPr="00F65C9E">
              <w:rPr>
                <w:bCs/>
                <w:lang w:val="ro-MD"/>
              </w:rPr>
              <w:t xml:space="preserve"> cu conductivitate duală electronică /ionică.  </w:t>
            </w:r>
            <w:proofErr w:type="spellStart"/>
            <w:r w:rsidRPr="00F65C9E">
              <w:rPr>
                <w:lang w:val="ro-MD"/>
              </w:rPr>
              <w:t>Nanocompozitul</w:t>
            </w:r>
            <w:proofErr w:type="spellEnd"/>
            <w:r w:rsidRPr="00F65C9E">
              <w:rPr>
                <w:lang w:val="ro-MD"/>
              </w:rPr>
              <w:t xml:space="preserve"> </w:t>
            </w:r>
            <w:r w:rsidRPr="00F65C9E">
              <w:rPr>
                <w:bCs/>
                <w:lang w:val="ro-RO"/>
              </w:rPr>
              <w:t>Te-SnO</w:t>
            </w:r>
            <w:r w:rsidRPr="00F65C9E">
              <w:rPr>
                <w:bCs/>
                <w:vertAlign w:val="subscript"/>
                <w:lang w:val="ro-RO"/>
              </w:rPr>
              <w:t xml:space="preserve">2 </w:t>
            </w:r>
            <w:r w:rsidRPr="00F65C9E">
              <w:rPr>
                <w:bCs/>
                <w:lang w:val="ro-RO"/>
              </w:rPr>
              <w:t xml:space="preserve">a fost obținut prin reducerea </w:t>
            </w:r>
            <w:proofErr w:type="spellStart"/>
            <w:r w:rsidRPr="00F65C9E">
              <w:rPr>
                <w:bCs/>
                <w:lang w:val="ro-RO"/>
              </w:rPr>
              <w:t>solvotermală</w:t>
            </w:r>
            <w:proofErr w:type="spellEnd"/>
            <w:r w:rsidRPr="00F65C9E">
              <w:rPr>
                <w:bCs/>
                <w:lang w:val="ro-RO"/>
              </w:rPr>
              <w:t xml:space="preserve"> a telurului din soluția de acid teluros</w:t>
            </w:r>
            <w:r>
              <w:rPr>
                <w:bCs/>
                <w:lang w:val="ro-RO"/>
              </w:rPr>
              <w:t>,</w:t>
            </w:r>
            <w:r w:rsidRPr="00F65C9E">
              <w:rPr>
                <w:bCs/>
                <w:lang w:val="ro-RO"/>
              </w:rPr>
              <w:t xml:space="preserve"> realizată prin </w:t>
            </w:r>
            <w:r w:rsidRPr="00835CD4">
              <w:rPr>
                <w:bCs/>
                <w:lang w:val="ro-RO"/>
              </w:rPr>
              <w:t>adaosul în ea</w:t>
            </w:r>
            <w:r w:rsidRPr="00F65C9E">
              <w:rPr>
                <w:bCs/>
                <w:lang w:val="ro-RO"/>
              </w:rPr>
              <w:t xml:space="preserve"> a clorurii de staniu (SnCl</w:t>
            </w:r>
            <w:r w:rsidRPr="00F65C9E">
              <w:rPr>
                <w:bCs/>
                <w:vertAlign w:val="subscript"/>
                <w:lang w:val="ro-RO"/>
              </w:rPr>
              <w:t>2</w:t>
            </w:r>
            <w:r w:rsidRPr="00F65C9E">
              <w:rPr>
                <w:bCs/>
                <w:lang w:val="ro-RO"/>
              </w:rPr>
              <w:t>)</w:t>
            </w:r>
            <w:r w:rsidRPr="00F65C9E">
              <w:rPr>
                <w:bCs/>
                <w:vertAlign w:val="subscript"/>
                <w:lang w:val="ro-RO"/>
              </w:rPr>
              <w:t xml:space="preserve"> </w:t>
            </w:r>
            <w:r w:rsidRPr="00F65C9E">
              <w:rPr>
                <w:bCs/>
                <w:lang w:val="ro-RO"/>
              </w:rPr>
              <w:t xml:space="preserve">dizolvate </w:t>
            </w:r>
            <w:r>
              <w:rPr>
                <w:bCs/>
                <w:lang w:val="ro-RO"/>
              </w:rPr>
              <w:t>î</w:t>
            </w:r>
            <w:r w:rsidRPr="00F65C9E">
              <w:rPr>
                <w:bCs/>
                <w:lang w:val="ro-RO"/>
              </w:rPr>
              <w:t>n</w:t>
            </w:r>
            <w:r w:rsidRPr="00F65C9E">
              <w:rPr>
                <w:bCs/>
                <w:vertAlign w:val="subscript"/>
                <w:lang w:val="ro-RO"/>
              </w:rPr>
              <w:t xml:space="preserve"> </w:t>
            </w:r>
            <w:r w:rsidRPr="00F65C9E">
              <w:rPr>
                <w:lang w:val="ro-RO"/>
              </w:rPr>
              <w:t xml:space="preserve"> acid sulfuric diluat. </w:t>
            </w:r>
            <w:r>
              <w:rPr>
                <w:lang w:val="ro-RO"/>
              </w:rPr>
              <w:t>Î</w:t>
            </w:r>
            <w:r w:rsidRPr="00F65C9E">
              <w:rPr>
                <w:lang w:val="ro-RO"/>
              </w:rPr>
              <w:t>n rezultatul reacției s</w:t>
            </w:r>
            <w:r>
              <w:rPr>
                <w:lang w:val="ro-RO"/>
              </w:rPr>
              <w:t>-a</w:t>
            </w:r>
            <w:r w:rsidRPr="00F65C9E">
              <w:rPr>
                <w:lang w:val="ro-RO"/>
              </w:rPr>
              <w:t xml:space="preserve"> obțin</w:t>
            </w:r>
            <w:r>
              <w:rPr>
                <w:lang w:val="ro-RO"/>
              </w:rPr>
              <w:t>ut</w:t>
            </w:r>
            <w:r w:rsidRPr="00F65C9E">
              <w:rPr>
                <w:lang w:val="ro-RO"/>
              </w:rPr>
              <w:t xml:space="preserve"> o suspensie de culoare neagră, care fiind ulterior filtrată și uscată la temperatura de 60-80</w:t>
            </w:r>
            <w:r w:rsidRPr="00F65C9E">
              <w:rPr>
                <w:vertAlign w:val="superscript"/>
                <w:lang w:val="ro-RO"/>
              </w:rPr>
              <w:t>0</w:t>
            </w:r>
            <w:r w:rsidRPr="00F65C9E">
              <w:rPr>
                <w:lang w:val="ro-RO"/>
              </w:rPr>
              <w:t>C , a fost depusă pe diverse substratu</w:t>
            </w:r>
            <w:r>
              <w:rPr>
                <w:lang w:val="ro-RO"/>
              </w:rPr>
              <w:t>r</w:t>
            </w:r>
            <w:r w:rsidRPr="00F65C9E">
              <w:rPr>
                <w:lang w:val="ro-RO"/>
              </w:rPr>
              <w:t>i, analizată și studiată.</w:t>
            </w:r>
            <w:r w:rsidRPr="0093052C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 </w:t>
            </w:r>
            <w:r w:rsidRPr="0028174E">
              <w:rPr>
                <w:iCs/>
                <w:lang w:val="ro-RO"/>
              </w:rPr>
              <w:t>Electronografia a dezvăluit că</w:t>
            </w:r>
            <w:r>
              <w:rPr>
                <w:iCs/>
                <w:lang w:val="ro-RO"/>
              </w:rPr>
              <w:t xml:space="preserve"> </w:t>
            </w:r>
            <w:proofErr w:type="spellStart"/>
            <w:r w:rsidRPr="0028174E">
              <w:rPr>
                <w:iCs/>
                <w:lang w:val="ro-RO"/>
              </w:rPr>
              <w:t>nanocompozitul</w:t>
            </w:r>
            <w:proofErr w:type="spellEnd"/>
            <w:r w:rsidRPr="0028174E">
              <w:rPr>
                <w:iCs/>
                <w:lang w:val="ro-RO"/>
              </w:rPr>
              <w:t xml:space="preserve"> Te-SnO</w:t>
            </w:r>
            <w:r w:rsidRPr="0028174E">
              <w:rPr>
                <w:iCs/>
                <w:vertAlign w:val="subscript"/>
                <w:lang w:val="ro-RO"/>
              </w:rPr>
              <w:t>2</w:t>
            </w:r>
            <w:r w:rsidRPr="0028174E">
              <w:rPr>
                <w:iCs/>
                <w:lang w:val="ro-RO"/>
              </w:rPr>
              <w:t xml:space="preserve"> constă din structuri pufoase de aglomerate minuscule ale blocurilor neregulate </w:t>
            </w:r>
            <w:proofErr w:type="spellStart"/>
            <w:r w:rsidRPr="0028174E">
              <w:rPr>
                <w:iCs/>
                <w:lang w:val="ro-RO"/>
              </w:rPr>
              <w:t>nanodimensionale</w:t>
            </w:r>
            <w:proofErr w:type="spellEnd"/>
            <w:r w:rsidRPr="0028174E">
              <w:rPr>
                <w:iCs/>
                <w:lang w:val="ro-RO"/>
              </w:rPr>
              <w:t xml:space="preserve"> de aproximativ 100 nm, iar EDX a relevat prezența a aproximativ 39 % at. Te; 52 % at. O; 5,5 % at. Sn și 3,5 % at. resturi de Cl. </w:t>
            </w:r>
            <w:proofErr w:type="spellStart"/>
            <w:r w:rsidRPr="0028174E">
              <w:rPr>
                <w:iCs/>
                <w:lang w:val="ro-RO"/>
              </w:rPr>
              <w:t>Nanocompozitul</w:t>
            </w:r>
            <w:proofErr w:type="spellEnd"/>
            <w:r w:rsidRPr="0028174E">
              <w:rPr>
                <w:iCs/>
                <w:lang w:val="ro-RO"/>
              </w:rPr>
              <w:t xml:space="preserve"> Te-SnO</w:t>
            </w:r>
            <w:r w:rsidRPr="0028174E">
              <w:rPr>
                <w:iCs/>
                <w:vertAlign w:val="subscript"/>
                <w:lang w:val="ro-RO"/>
              </w:rPr>
              <w:t xml:space="preserve">2 </w:t>
            </w:r>
            <w:r w:rsidRPr="0028174E">
              <w:rPr>
                <w:iCs/>
                <w:lang w:val="ro-RO"/>
              </w:rPr>
              <w:t>posedă</w:t>
            </w:r>
            <w:r w:rsidRPr="00F65C9E">
              <w:rPr>
                <w:iCs/>
                <w:lang w:val="ro-RO"/>
              </w:rPr>
              <w:t xml:space="preserve"> conductibilitate electronică cu conductanța la temperatura </w:t>
            </w:r>
            <w:proofErr w:type="spellStart"/>
            <w:r w:rsidRPr="00F65C9E">
              <w:rPr>
                <w:iCs/>
                <w:lang w:val="ro-RO"/>
              </w:rPr>
              <w:t>camerii</w:t>
            </w:r>
            <w:proofErr w:type="spellEnd"/>
            <w:r w:rsidRPr="00F65C9E">
              <w:rPr>
                <w:iCs/>
                <w:lang w:val="ro-RO"/>
              </w:rPr>
              <w:t xml:space="preserve"> de </w:t>
            </w:r>
            <w:r w:rsidRPr="0093052C">
              <w:rPr>
                <w:lang w:val="ro-MD"/>
              </w:rPr>
              <w:t>~</w:t>
            </w:r>
            <w:r w:rsidRPr="00F65C9E">
              <w:rPr>
                <w:iCs/>
                <w:lang w:val="ro-RO"/>
              </w:rPr>
              <w:t>10</w:t>
            </w:r>
            <w:r w:rsidRPr="00F65C9E">
              <w:rPr>
                <w:iCs/>
                <w:vertAlign w:val="superscript"/>
                <w:lang w:val="ro-RO"/>
              </w:rPr>
              <w:t xml:space="preserve">-7 </w:t>
            </w:r>
            <w:r w:rsidRPr="00F65C9E">
              <w:rPr>
                <w:i/>
                <w:lang w:val="ro-RO"/>
              </w:rPr>
              <w:t>Sm</w:t>
            </w:r>
            <w:r w:rsidRPr="00F65C9E">
              <w:rPr>
                <w:iCs/>
                <w:lang w:val="ro-RO"/>
              </w:rPr>
              <w:t>, manifestă sensibilitate c</w:t>
            </w:r>
            <w:r>
              <w:rPr>
                <w:iCs/>
                <w:lang w:val="ro-RO"/>
              </w:rPr>
              <w:t>ă</w:t>
            </w:r>
            <w:r w:rsidRPr="00F65C9E">
              <w:rPr>
                <w:iCs/>
                <w:lang w:val="ro-RO"/>
              </w:rPr>
              <w:t>tre unele gaze toxice,</w:t>
            </w:r>
            <w:r>
              <w:rPr>
                <w:iCs/>
                <w:lang w:val="ro-RO"/>
              </w:rPr>
              <w:t xml:space="preserve"> inclusiv</w:t>
            </w:r>
            <w:r w:rsidRPr="00F65C9E">
              <w:rPr>
                <w:iCs/>
                <w:lang w:val="ro-RO"/>
              </w:rPr>
              <w:t xml:space="preserve"> NO</w:t>
            </w:r>
            <w:r w:rsidRPr="00F65C9E">
              <w:rPr>
                <w:iCs/>
                <w:vertAlign w:val="subscript"/>
                <w:lang w:val="ro-RO"/>
              </w:rPr>
              <w:t>2</w:t>
            </w:r>
            <w:r w:rsidRPr="00F65C9E">
              <w:rPr>
                <w:iCs/>
                <w:lang w:val="ro-RO"/>
              </w:rPr>
              <w:t>.</w:t>
            </w:r>
            <w:r w:rsidRPr="00F65C9E">
              <w:rPr>
                <w:iCs/>
                <w:lang w:val="en-US"/>
              </w:rPr>
              <w:t xml:space="preserve"> </w:t>
            </w:r>
            <w:r w:rsidRPr="00F65C9E">
              <w:rPr>
                <w:lang w:val="ro-RO"/>
              </w:rPr>
              <w:t>Rezultatele obținute referitoare la</w:t>
            </w:r>
            <w:r w:rsidRPr="00F65C9E">
              <w:rPr>
                <w:rFonts w:ascii="Calibri" w:eastAsia="Calibri" w:hAnsi="Calibri"/>
                <w:lang w:val="ro-RO" w:eastAsia="en-US"/>
              </w:rPr>
              <w:t xml:space="preserve">  </w:t>
            </w:r>
            <w:r w:rsidRPr="00F65C9E">
              <w:rPr>
                <w:rFonts w:eastAsia="Calibri"/>
                <w:lang w:val="ro-RO" w:eastAsia="en-US"/>
              </w:rPr>
              <w:t>filme</w:t>
            </w:r>
            <w:r w:rsidRPr="00F65C9E">
              <w:rPr>
                <w:rFonts w:ascii="Calibri" w:eastAsia="Calibri" w:hAnsi="Calibri"/>
                <w:lang w:val="ro-RO" w:eastAsia="en-US"/>
              </w:rPr>
              <w:t xml:space="preserve"> </w:t>
            </w:r>
            <w:r>
              <w:rPr>
                <w:rFonts w:ascii="Calibri" w:eastAsia="Calibri" w:hAnsi="Calibri"/>
                <w:lang w:val="ro-RO" w:eastAsia="en-US"/>
              </w:rPr>
              <w:t xml:space="preserve"> </w:t>
            </w:r>
            <w:r w:rsidRPr="0028174E">
              <w:rPr>
                <w:rFonts w:eastAsia="Calibri"/>
                <w:lang w:val="ro-RO" w:eastAsia="en-US"/>
              </w:rPr>
              <w:t>bazate pe</w:t>
            </w:r>
            <w:r w:rsidRPr="00F65C9E">
              <w:rPr>
                <w:rFonts w:ascii="Calibri" w:eastAsia="Calibri" w:hAnsi="Calibri"/>
                <w:lang w:val="ro-RO" w:eastAsia="en-US"/>
              </w:rPr>
              <w:t xml:space="preserve"> </w:t>
            </w:r>
            <w:proofErr w:type="spellStart"/>
            <w:r w:rsidRPr="00F65C9E">
              <w:rPr>
                <w:lang w:val="ro-RO"/>
              </w:rPr>
              <w:t>nanocompozitul</w:t>
            </w:r>
            <w:proofErr w:type="spellEnd"/>
            <w:r w:rsidRPr="00F65C9E">
              <w:rPr>
                <w:lang w:val="ro-RO"/>
              </w:rPr>
              <w:t xml:space="preserve"> </w:t>
            </w:r>
            <w:r w:rsidRPr="00F65C9E">
              <w:rPr>
                <w:iCs/>
                <w:lang w:val="en-US"/>
              </w:rPr>
              <w:t>Te-SnO</w:t>
            </w:r>
            <w:r w:rsidRPr="00F65C9E">
              <w:rPr>
                <w:iCs/>
                <w:vertAlign w:val="subscript"/>
                <w:lang w:val="en-US"/>
              </w:rPr>
              <w:t>2</w:t>
            </w:r>
            <w:r w:rsidRPr="00F65C9E">
              <w:rPr>
                <w:lang w:val="ro-RO"/>
              </w:rPr>
              <w:t xml:space="preserve"> au fost patentate și recomandate pentru aplicare ca element funcțional în dispozitive de detectare a gazelor toxice.</w:t>
            </w:r>
          </w:p>
          <w:p w14:paraId="6908D8CF" w14:textId="77777777" w:rsidR="00810F15" w:rsidRPr="00F65C9E" w:rsidRDefault="00810F15" w:rsidP="005E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4F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In the framework of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implementation of the 2024 stage of the research subprogram 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021201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"Glass chalcogenides and new nanocomposites for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voltaics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optoelectronics", the compositional calculation was performed and the synthesis regime was developed by the vacuum melting method of glassy chalcogenides from the equimolar section Ge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x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100-2x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and (AsS</w:t>
            </w:r>
            <w:proofErr w:type="gramStart"/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x</w:t>
            </w:r>
            <w:proofErr w:type="gram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(GeS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1-x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in which there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are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intermediate phases. Subsequently, this thermal regime was used for the synthesis of two equimolar compositions Ge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11.1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11.1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77.8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and Ge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33.33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33.33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33.33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as well as of two other Ge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37.5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37.5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Ge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29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29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which are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afferent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 this section, but have the same average coordination number of atoms &lt;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&gt; =3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 The elemental composition (EDX) study of the synthesized chalcogen materials was carried out, which established that within the experimental error limit (1÷2 at.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%) a satisfactory correlation with the calculations previously imposed for the synthesis was attested. A new chemical method for the synthesis of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tellurous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nanocomposites (Te-SnO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NaNO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was developed, based on solvothermal reactions with tin chloride salts or sodium nitrate salts. The first stage of this method is the same for the synthesis of both mentioned nanocomposites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817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It   consists in a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solvothermal recrystallization of tellurium powder (purity 99.9%) in nitric acid, completed with the obtaining of a solution of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tellurous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acid and tellurium dioxide. Subsequently, if sodium dithionite (Na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is added to this solution (with vigorous stirring), a chemical reaction occurs, in which the reduction of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tellurous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acid (H2TeO3) and tellurium dioxide (TeO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occurs, accompanied by the formation of nano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dimensional tellurium clusters, in an aqueous solution of sodium sulfate (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Scanning electron microscopy (SEM) and energy dispersive X-ray spectroscopy (EDX) analysis showed that the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NaNO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nanocomposites consist of nanofibers with a diameter of 100 </w:t>
            </w:r>
            <w:r w:rsidRPr="000B136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nm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a length of up to 1.0</w:t>
            </w:r>
            <w:r w:rsidRPr="000B136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µm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as well as 100 - 300 nm micro / nano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blocks formed by tellurium, sodium, oxygen and nitrogen, in which tellurium constitutes ~ 35 at. %. Due to the combination at the nanometric level of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the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tellurium with electronic conductivity and sodium nitrate with ionic conductivity, the opportunity to create promising materials with dual electronic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ionic conductivity opens up. The Te-SnO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nanocomposite was obtained by solvothermal reduction of tellurium from the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tellurous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acid solution, achieved by adding </w:t>
            </w:r>
            <w:r w:rsidRPr="007C3F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into it of the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tin chloride (SnCl</w:t>
            </w:r>
            <w:r w:rsidRPr="000B136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dissolved in dilute sulfuric acid. As a result of the reaction, a black suspension was obtained, which was subsequently filtered and dried at a temperature of 60-800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136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then 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deposited on various substrates, analyzed and studied. Electron microscopy revealed that the Te-SnO</w:t>
            </w:r>
            <w:r w:rsidRPr="007C3F4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nanocomposite consists of fluffy structures of tiny agglomerates of irregular nano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dimensional blocks of approximately 100 </w:t>
            </w:r>
            <w:r w:rsidRPr="000B136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nm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and EDX revealed the presence of approximately 39 at. % </w:t>
            </w:r>
            <w:proofErr w:type="spellStart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52 at. % O; 5.5 at. % Sn and 3.5 at. % Cl residues. The Te-SnO</w:t>
            </w:r>
            <w:r w:rsidRPr="007C3F4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nanocomposite possesses electronic conductivity with a conductance at room temperature of ~10</w:t>
            </w:r>
            <w:r w:rsidRPr="007C3F4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F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Sm</w:t>
            </w:r>
            <w:proofErr w:type="spellEnd"/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and exhibits sensitivity to some toxic gases, including NO</w:t>
            </w:r>
            <w:r w:rsidRPr="007C3F4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The results obtained on films based on the Te-SnO</w:t>
            </w:r>
            <w:r w:rsidRPr="007C3F4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E75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nanocomposite have been patented and recommended for application as a functional element in toxic gas detection devices.</w:t>
            </w:r>
          </w:p>
          <w:p w14:paraId="13727709" w14:textId="77777777" w:rsidR="00810F15" w:rsidRPr="00D61877" w:rsidRDefault="00810F15" w:rsidP="005E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16C5E50B" w14:textId="77777777" w:rsidR="00810F15" w:rsidRDefault="00810F15" w:rsidP="00810F15">
      <w:pPr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40F08561" w14:textId="77777777" w:rsidR="00810F15" w:rsidRDefault="00810F15" w:rsidP="00810F15">
      <w:pPr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66399E6C" w14:textId="77777777" w:rsidR="00810F15" w:rsidRPr="00D61877" w:rsidRDefault="00810F15" w:rsidP="00810F15">
      <w:pPr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4B7F7A50" w14:textId="77777777" w:rsidR="00810F15" w:rsidRPr="00D61877" w:rsidRDefault="00810F15" w:rsidP="00810F15">
      <w:pPr>
        <w:spacing w:after="0" w:line="276" w:lineRule="auto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D61877">
        <w:rPr>
          <w:rFonts w:ascii="Times New Roman" w:hAnsi="Times New Roman"/>
          <w:sz w:val="24"/>
          <w:szCs w:val="24"/>
          <w:lang w:val="ro-RO"/>
        </w:rPr>
        <w:lastRenderedPageBreak/>
        <w:t xml:space="preserve">Coordonatorul subprogramului                             </w:t>
      </w:r>
    </w:p>
    <w:p w14:paraId="74842A2C" w14:textId="77777777" w:rsidR="00810F15" w:rsidRDefault="00810F15" w:rsidP="00810F15">
      <w:pPr>
        <w:spacing w:after="120" w:line="276" w:lineRule="auto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D61877">
        <w:rPr>
          <w:rFonts w:ascii="Times New Roman" w:hAnsi="Times New Roman"/>
          <w:sz w:val="24"/>
          <w:szCs w:val="24"/>
          <w:lang w:val="ro-RO"/>
        </w:rPr>
        <w:t>de cercetare</w:t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     </w:t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246515">
        <w:rPr>
          <w:rFonts w:ascii="Times New Roman" w:hAnsi="Times New Roman"/>
          <w:b/>
          <w:bCs/>
          <w:color w:val="FF0000"/>
          <w:sz w:val="24"/>
          <w:szCs w:val="24"/>
          <w:lang w:val="ro-RO"/>
        </w:rPr>
        <w:t xml:space="preserve">    </w:t>
      </w:r>
      <w:r w:rsidRPr="00246515">
        <w:rPr>
          <w:rFonts w:ascii="Times New Roman" w:hAnsi="Times New Roman"/>
          <w:b/>
          <w:bCs/>
          <w:sz w:val="24"/>
          <w:szCs w:val="24"/>
          <w:lang w:val="ro-RO"/>
        </w:rPr>
        <w:t>__</w:t>
      </w:r>
      <w:proofErr w:type="spellStart"/>
      <w:r w:rsidRPr="0024651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Țiuleanu</w:t>
      </w:r>
      <w:proofErr w:type="spellEnd"/>
      <w:r w:rsidRPr="0024651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Dumitru_</w:t>
      </w:r>
      <w:r w:rsidRPr="00D61877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D61877">
        <w:rPr>
          <w:rFonts w:ascii="Times New Roman" w:hAnsi="Times New Roman"/>
          <w:sz w:val="24"/>
          <w:szCs w:val="24"/>
          <w:lang w:val="ro-RO"/>
        </w:rPr>
        <w:t xml:space="preserve"> ________</w:t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</w:p>
    <w:p w14:paraId="0D52D565" w14:textId="77777777" w:rsidR="00810F15" w:rsidRPr="00D61877" w:rsidRDefault="00810F15" w:rsidP="00810F15">
      <w:pPr>
        <w:spacing w:after="120" w:line="276" w:lineRule="auto"/>
        <w:rPr>
          <w:rFonts w:ascii="Times New Roman" w:hAnsi="Times New Roman"/>
          <w:strike/>
          <w:szCs w:val="24"/>
          <w:lang w:val="ro-RO"/>
        </w:rPr>
      </w:pP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                 </w:t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</w:r>
      <w:r w:rsidRPr="00D61877">
        <w:rPr>
          <w:rFonts w:ascii="Times New Roman" w:hAnsi="Times New Roman"/>
          <w:color w:val="FF0000"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     </w:t>
      </w:r>
      <w:r w:rsidRPr="00D61877">
        <w:rPr>
          <w:rFonts w:ascii="Times New Roman" w:hAnsi="Times New Roman"/>
          <w:szCs w:val="24"/>
          <w:lang w:val="ro-RO"/>
        </w:rPr>
        <w:t xml:space="preserve">(numele, prenumele) </w:t>
      </w:r>
      <w:r w:rsidRPr="00D61877">
        <w:rPr>
          <w:rFonts w:ascii="Times New Roman" w:hAnsi="Times New Roman"/>
          <w:szCs w:val="24"/>
          <w:lang w:val="ro-RO"/>
        </w:rPr>
        <w:tab/>
      </w:r>
      <w:r w:rsidRPr="00D61877">
        <w:rPr>
          <w:rFonts w:ascii="Times New Roman" w:hAnsi="Times New Roman"/>
          <w:szCs w:val="24"/>
          <w:lang w:val="ro-RO"/>
        </w:rPr>
        <w:tab/>
        <w:t xml:space="preserve">   </w:t>
      </w:r>
      <w:r>
        <w:rPr>
          <w:rFonts w:ascii="Times New Roman" w:hAnsi="Times New Roman"/>
          <w:szCs w:val="24"/>
          <w:lang w:val="ro-RO"/>
        </w:rPr>
        <w:t xml:space="preserve"> </w:t>
      </w:r>
      <w:r w:rsidRPr="00D61877">
        <w:rPr>
          <w:rFonts w:ascii="Times New Roman" w:hAnsi="Times New Roman"/>
          <w:szCs w:val="24"/>
          <w:lang w:val="ro-RO"/>
        </w:rPr>
        <w:t>(semnătura)</w:t>
      </w:r>
      <w:r w:rsidRPr="00D61877">
        <w:rPr>
          <w:rFonts w:ascii="Times New Roman" w:hAnsi="Times New Roman"/>
          <w:strike/>
          <w:szCs w:val="24"/>
          <w:lang w:val="ro-RO"/>
        </w:rPr>
        <w:t xml:space="preserve"> </w:t>
      </w:r>
    </w:p>
    <w:p w14:paraId="3DD13D76" w14:textId="77777777" w:rsidR="00810F15" w:rsidRDefault="00810F15" w:rsidP="00810F15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14:paraId="1F2FB36F" w14:textId="77777777" w:rsidR="00810F15" w:rsidRPr="00D61877" w:rsidRDefault="00810F15" w:rsidP="00810F15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D61877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Data: _________________ </w:t>
      </w:r>
    </w:p>
    <w:p w14:paraId="5CBC4ED4" w14:textId="77777777" w:rsidR="002C693E" w:rsidRDefault="002C693E"/>
    <w:sectPr w:rsidR="002C693E" w:rsidSect="00810F1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15"/>
    <w:rsid w:val="002C693E"/>
    <w:rsid w:val="002F074D"/>
    <w:rsid w:val="004F2056"/>
    <w:rsid w:val="007229CC"/>
    <w:rsid w:val="00723148"/>
    <w:rsid w:val="007D4925"/>
    <w:rsid w:val="00810F15"/>
    <w:rsid w:val="0086504D"/>
    <w:rsid w:val="0087744B"/>
    <w:rsid w:val="0091579F"/>
    <w:rsid w:val="00940FB0"/>
    <w:rsid w:val="0096554C"/>
    <w:rsid w:val="009C4A64"/>
    <w:rsid w:val="009E0496"/>
    <w:rsid w:val="00AE4677"/>
    <w:rsid w:val="00CE5CB0"/>
    <w:rsid w:val="00D25AAE"/>
    <w:rsid w:val="00D51A5F"/>
    <w:rsid w:val="00F23381"/>
    <w:rsid w:val="00F27F57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E92C"/>
  <w15:chartTrackingRefBased/>
  <w15:docId w15:val="{0E9051B7-AEF3-4E68-BE4E-3EA71EA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15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F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F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F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F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F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F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F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F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81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F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81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F1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o-RO"/>
    </w:rPr>
  </w:style>
  <w:style w:type="character" w:customStyle="1" w:styleId="QuoteChar">
    <w:name w:val="Quote Char"/>
    <w:basedOn w:val="DefaultParagraphFont"/>
    <w:link w:val="Quote"/>
    <w:uiPriority w:val="29"/>
    <w:rsid w:val="00810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F15"/>
    <w:pPr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IntenseEmphasis">
    <w:name w:val="Intense Emphasis"/>
    <w:basedOn w:val="DefaultParagraphFont"/>
    <w:uiPriority w:val="21"/>
    <w:qFormat/>
    <w:rsid w:val="00810F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F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F1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10F1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810F1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character" w:customStyle="1" w:styleId="NoSpacingChar">
    <w:name w:val="No Spacing Char"/>
    <w:link w:val="NoSpacing"/>
    <w:uiPriority w:val="1"/>
    <w:locked/>
    <w:rsid w:val="00810F15"/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2025-01-30T13:21:00Z</dcterms:created>
  <dcterms:modified xsi:type="dcterms:W3CDTF">2025-01-30T13:22:00Z</dcterms:modified>
</cp:coreProperties>
</file>