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1407" w14:textId="77777777" w:rsidR="002E7F98" w:rsidRPr="00F824F8" w:rsidRDefault="002E7F98" w:rsidP="002E7F98">
      <w:pPr>
        <w:keepNext/>
        <w:spacing w:after="120" w:line="27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MD"/>
        </w:rPr>
      </w:pPr>
      <w:r w:rsidRPr="00F824F8">
        <w:rPr>
          <w:rFonts w:ascii="Times New Roman" w:hAnsi="Times New Roman"/>
          <w:b/>
          <w:bCs/>
          <w:kern w:val="32"/>
          <w:sz w:val="24"/>
          <w:szCs w:val="24"/>
          <w:lang w:val="ro-MD"/>
        </w:rPr>
        <w:t xml:space="preserve">Rezumatul activității și a rezultatelor obținute în </w:t>
      </w:r>
      <w:r w:rsidRPr="00F824F8">
        <w:rPr>
          <w:rFonts w:ascii="Times New Roman" w:hAnsi="Times New Roman"/>
          <w:b/>
          <w:kern w:val="32"/>
          <w:sz w:val="24"/>
          <w:szCs w:val="24"/>
          <w:lang w:val="ro-MD"/>
        </w:rPr>
        <w:t>subprogram</w:t>
      </w:r>
      <w:r w:rsidRPr="00F824F8">
        <w:rPr>
          <w:rFonts w:ascii="Times New Roman" w:hAnsi="Times New Roman"/>
          <w:b/>
          <w:bCs/>
          <w:kern w:val="32"/>
          <w:sz w:val="24"/>
          <w:szCs w:val="24"/>
          <w:lang w:val="ro-MD"/>
        </w:rPr>
        <w:t xml:space="preserve"> în anul 2024</w:t>
      </w:r>
    </w:p>
    <w:p w14:paraId="0D792B22" w14:textId="77777777" w:rsidR="002E7F98" w:rsidRPr="00F824F8" w:rsidRDefault="002E7F98" w:rsidP="002E7F98">
      <w:pPr>
        <w:pStyle w:val="NoSpacing"/>
        <w:spacing w:line="276" w:lineRule="auto"/>
        <w:jc w:val="center"/>
        <w:rPr>
          <w:rFonts w:ascii="Times New Roman" w:hAnsi="Times New Roman"/>
          <w:b/>
          <w:bCs/>
          <w:i/>
          <w:color w:val="auto"/>
          <w:sz w:val="20"/>
          <w:lang w:val="ro-MD"/>
        </w:rPr>
      </w:pPr>
      <w:r w:rsidRPr="00F824F8">
        <w:rPr>
          <w:rFonts w:ascii="Times New Roman" w:hAnsi="Times New Roman"/>
          <w:b/>
          <w:bCs/>
          <w:color w:val="auto"/>
          <w:u w:val="single"/>
          <w:lang w:val="ro-MD"/>
        </w:rPr>
        <w:t>Optimizarea tehnologiilor de procesare a alimentelor în contextul bioeconomiei circulare și schimbărilor climatice</w:t>
      </w:r>
      <w:r w:rsidRPr="00F824F8">
        <w:rPr>
          <w:rFonts w:ascii="Times New Roman" w:hAnsi="Times New Roman"/>
          <w:b/>
          <w:bCs/>
          <w:i/>
          <w:color w:val="auto"/>
          <w:sz w:val="20"/>
          <w:lang w:val="ro-MD"/>
        </w:rPr>
        <w:t xml:space="preserve"> </w:t>
      </w:r>
    </w:p>
    <w:p w14:paraId="7C7881FA" w14:textId="77777777" w:rsidR="002E7F98" w:rsidRPr="00F824F8" w:rsidRDefault="002E7F98" w:rsidP="002E7F98">
      <w:pPr>
        <w:spacing w:after="0" w:line="36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F824F8">
        <w:rPr>
          <w:rFonts w:ascii="Times New Roman" w:hAnsi="Times New Roman"/>
          <w:b/>
          <w:sz w:val="24"/>
          <w:szCs w:val="24"/>
          <w:lang w:val="ro-MD"/>
        </w:rPr>
        <w:t xml:space="preserve">Codul </w:t>
      </w:r>
      <w:r w:rsidRPr="00F824F8">
        <w:rPr>
          <w:rFonts w:ascii="Times New Roman" w:hAnsi="Times New Roman"/>
          <w:b/>
          <w:kern w:val="32"/>
          <w:sz w:val="24"/>
          <w:szCs w:val="24"/>
          <w:lang w:val="ro-MD"/>
        </w:rPr>
        <w:t>subprogram</w:t>
      </w:r>
      <w:r w:rsidRPr="00F824F8">
        <w:rPr>
          <w:rFonts w:ascii="Times New Roman" w:hAnsi="Times New Roman"/>
          <w:b/>
          <w:sz w:val="24"/>
          <w:szCs w:val="24"/>
          <w:lang w:val="ro-MD"/>
        </w:rPr>
        <w:t xml:space="preserve">ului      </w:t>
      </w:r>
      <w:r w:rsidRPr="00F824F8">
        <w:rPr>
          <w:rFonts w:ascii="Times New Roman" w:hAnsi="Times New Roman"/>
          <w:b/>
          <w:sz w:val="24"/>
          <w:szCs w:val="24"/>
          <w:u w:val="single"/>
          <w:lang w:val="ro-MD"/>
        </w:rPr>
        <w:t>020405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2E7F98" w:rsidRPr="00F824F8" w14:paraId="5E1D9D90" w14:textId="77777777" w:rsidTr="00C36D77">
        <w:tc>
          <w:tcPr>
            <w:tcW w:w="9558" w:type="dxa"/>
            <w:shd w:val="clear" w:color="auto" w:fill="auto"/>
          </w:tcPr>
          <w:p w14:paraId="361F50BA" w14:textId="77777777" w:rsidR="002E7F98" w:rsidRPr="00F824F8" w:rsidRDefault="002E7F98" w:rsidP="00C3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>Au fost s</w:t>
            </w:r>
            <w:r w:rsidRPr="00F824F8">
              <w:rPr>
                <w:rFonts w:ascii="Times New Roman" w:eastAsia="Times New Roman" w:hAnsi="Times New Roman"/>
                <w:iCs/>
                <w:sz w:val="24"/>
                <w:szCs w:val="24"/>
                <w:lang w:val="ro-MD"/>
              </w:rPr>
              <w:t>tabili</w:t>
            </w: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>ți</w:t>
            </w:r>
            <w:r w:rsidRPr="00F824F8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parametri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i</w:t>
            </w:r>
            <w:r w:rsidRPr="00F824F8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 xml:space="preserve"> tehnologici-cheie ale proceselor de uscare pentru sporirea eficienței energetice și inofensive pentru indicii de calitate a produsului finit</w:t>
            </w: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 xml:space="preserve">. S-a efectuat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analiza prin simulare 3D a regimurilor de viteză pentru agentul termic de uscare, a distribuției câmpului de temperatură în interiorul instalației de uscare și a distribuției câmpului de presiune în interiorul instalației. Au fost testate procesele de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pretratare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(congelare, liofilizare, uscare) a pomușoarelor de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josta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 vederea păstrării potențialului antioxidant și parametrilor de culoare ai extractelor. Au fost testate și stabilite condițiile optime de extracție (UAE și MAE) a CBA din tescovina de cătină albă. Au fost analizate conținutul total de polifenoli, carotenoide, activitatea antioxidantă (DPPH și ABTS) și condițiile optime de extracție a CBA.</w:t>
            </w:r>
            <w:r w:rsidRPr="00F824F8">
              <w:rPr>
                <w:lang w:val="fr-FR"/>
              </w:rPr>
              <w:t xml:space="preserve">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Au fost obținute formulări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liposomale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îmbogățite cu extracte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lipofile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din cătină albă și extracte hidrosolubile din tescovina de struguri. Formulările în mediu apos au prezentat o eficiență de încapsulare de 90,90%. În condiții simulate de digestie gastrică activitatea antioxidantă a formulărilor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liposomale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crescut progresiv, atingând valori de 91,80% inhibare DPPH pentru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carotenoizii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încapsulați și 92,32%  pentru polifenolii încapsulați.</w:t>
            </w:r>
            <w:r w:rsidRPr="00F824F8">
              <w:rPr>
                <w:lang w:val="ro-MD"/>
              </w:rPr>
              <w:t xml:space="preserve">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 fost realizată extracția fibrelor alimentare solubile și insolubile din tescovina de gutuie prin metoda acidă clasică, MAE și UAE. S-a evaluat efectul metodelor de extracție asupra randamentului, compoziției chimice, conținutului de CBA și proprietăților tehnologice ale concentratelor de fibre alimentare. S-a evaluat compoziția nutrițională și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fitochimică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 unor fructe, legume și verdețurilor aromate. Au fost stabiliți indicatorii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fizico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-chimici, s-au determinat profilul calitativ și cantitativ al compușilor bioactivi (polifenoli și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carotenoizi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) și a substanțelor minerale. În cazul verdețurilor aromate, s-a demonstrat că există o asemănare directă între acumularea de CBA și substanțe minerale. Metodologia suprafeței de răspuns a fost utilizată pentru elaborarea unui iaurt vegetal pe bază de băutură de tip emulsie din nuci </w:t>
            </w:r>
            <w:proofErr w:type="spellStart"/>
            <w:r w:rsidRPr="00F824F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Juglans</w:t>
            </w:r>
            <w:proofErr w:type="spellEnd"/>
            <w:r w:rsidRPr="00F824F8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 xml:space="preserve"> regia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L., fără lactoză, acceptabil din punct de vedere al proprietăților de calitate și senzoriale. </w:t>
            </w:r>
            <w:r w:rsidRPr="00F824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Au fost realizate analize agrobiologice, uvologice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şi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tehnologice a 5 tipuri de struguri recoltați din diferite arealuri ale RM. În a. 2024 maturarea boabelor a început cu 15-20 zile mai devreme, recolta strugurilor s-a diminuat cu 20 – 50%, randamentul în must a scăzut cu 30-40%.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 fost evaluată fezabilitatea testelor de stabilitate proteică a vinurilor albe. </w:t>
            </w: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 xml:space="preserve">S-a determinat gradul de contaminare cu microorganisme a vinurilor produse în secția de </w:t>
            </w:r>
            <w:proofErr w:type="spellStart"/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>microvinificație</w:t>
            </w:r>
            <w:proofErr w:type="spellEnd"/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 xml:space="preserve"> prin aplicarea metodei RT-PCR. </w:t>
            </w:r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A fost testată compoziția drojdiei de vin, influența metodei de extracție și a originii drojdiei asupra randamentului și tipului de β-</w:t>
            </w:r>
            <w:proofErr w:type="spellStart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glucani</w:t>
            </w:r>
            <w:proofErr w:type="spellEnd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 xml:space="preserve"> extrași. Metoda de autoliză a furnizat randamente mai mari de β-</w:t>
            </w:r>
            <w:proofErr w:type="spellStart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glucan</w:t>
            </w:r>
            <w:proofErr w:type="spellEnd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 xml:space="preserve"> comparativ cu metoda </w:t>
            </w:r>
            <w:proofErr w:type="spellStart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acido</w:t>
            </w:r>
            <w:proofErr w:type="spellEnd"/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-bazică.</w:t>
            </w: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 xml:space="preserve"> </w:t>
            </w:r>
            <w:r w:rsidRPr="00F824F8">
              <w:rPr>
                <w:rFonts w:ascii="Times New Roman" w:hAnsi="Times New Roman"/>
                <w:bCs/>
                <w:kern w:val="32"/>
                <w:sz w:val="24"/>
                <w:szCs w:val="24"/>
                <w:lang w:val="ro-MD"/>
              </w:rPr>
              <w:t>S-a realizat un studiu empiric privitor la percepțiile și comportamentele consumatorilor legate de etichetele frontale alimentare ecologice vegetale. Au fost formulate recomandări menite să contribuie la îmbunătățirea politicilor de etichetare a produselor alimentare în RM.</w:t>
            </w:r>
            <w:r w:rsidRPr="00F824F8">
              <w:rPr>
                <w:rFonts w:ascii="Times New Roman" w:hAnsi="Times New Roman"/>
                <w:iCs/>
                <w:sz w:val="24"/>
                <w:szCs w:val="24"/>
                <w:lang w:val="ro-MD"/>
              </w:rPr>
              <w:t xml:space="preserve">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Au fost publicate 23 articole din care 9 articole în reviste Web of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Science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și SCOPUS. Rezultatele au fost diseminate la 8 foruri științifice. Au fost susținute o teză de doctorat și o teză de doctor </w:t>
            </w:r>
            <w:proofErr w:type="spellStart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habilitat</w:t>
            </w:r>
            <w:proofErr w:type="spellEnd"/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A fost </w:t>
            </w:r>
            <w:r w:rsidRPr="00F824F8">
              <w:rPr>
                <w:rFonts w:ascii="Times New Roman" w:hAnsi="Times New Roman"/>
                <w:kern w:val="32"/>
                <w:sz w:val="24"/>
                <w:szCs w:val="24"/>
                <w:lang w:val="ro-MD"/>
              </w:rPr>
              <w:t xml:space="preserve">completat catalogul de microorganisme </w:t>
            </w:r>
            <w:proofErr w:type="spellStart"/>
            <w:r w:rsidRPr="00F824F8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MD"/>
              </w:rPr>
              <w:t>Brettanomyces</w:t>
            </w:r>
            <w:proofErr w:type="spellEnd"/>
            <w:r w:rsidRPr="00F824F8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i/>
                <w:iCs/>
                <w:kern w:val="32"/>
                <w:sz w:val="24"/>
                <w:szCs w:val="24"/>
                <w:lang w:val="ro-MD"/>
              </w:rPr>
              <w:t>bruxellensis</w:t>
            </w:r>
            <w:proofErr w:type="spellEnd"/>
            <w:r w:rsidRPr="00F824F8">
              <w:rPr>
                <w:rFonts w:ascii="Times New Roman" w:hAnsi="Times New Roman"/>
                <w:kern w:val="32"/>
                <w:sz w:val="24"/>
                <w:szCs w:val="24"/>
                <w:lang w:val="ro-MD"/>
              </w:rPr>
              <w:t xml:space="preserve"> izolate și secvențiate din cultură (5). Au fost obținute 11 brevete de invenție. A fost </w:t>
            </w:r>
            <w:r w:rsidRPr="00F824F8">
              <w:rPr>
                <w:rFonts w:ascii="Times New Roman" w:hAnsi="Times New Roman"/>
                <w:sz w:val="24"/>
                <w:szCs w:val="24"/>
                <w:lang w:val="ro-MD"/>
              </w:rPr>
              <w:t>organizată o conferință internațională MTFI-2024.</w:t>
            </w:r>
          </w:p>
          <w:p w14:paraId="6A68C19D" w14:textId="77777777" w:rsidR="002E7F98" w:rsidRPr="00F824F8" w:rsidRDefault="002E7F98" w:rsidP="00C3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14:paraId="448930B0" w14:textId="77777777" w:rsidR="002E7F98" w:rsidRPr="00F824F8" w:rsidRDefault="002E7F98" w:rsidP="00C36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MD"/>
              </w:rPr>
            </w:pP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lastRenderedPageBreak/>
              <w:t>Key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technological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parameters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drying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processes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established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increase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energy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efficiency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harmless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quality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indices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finished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product.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Analysis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performed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through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3D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simulation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speed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regimes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for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drying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heat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agent,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distribution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temperature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field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inside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drying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plant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distribution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pressure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field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inside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plant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Pretreatment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processes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(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freezing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lyophilization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drying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)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josta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berries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tested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order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preserve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antioxidant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potential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color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parameters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optimal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conditions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(UAE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MAE) of CBA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from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sea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buckthorn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pomace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tested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established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total content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polyphenols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carotenoids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antioxidant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activity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(DPPH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ABTS)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optimal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conditions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CBA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analyzed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Liposomal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formulations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enriched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with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lipophilic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sea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buckthorn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water-soluble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grape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pomace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obtained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formulations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aqueous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medium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showed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encapsulation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efficiency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90.90%.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Under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simulated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gastric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digestion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conditions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antioxidant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activity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liposomal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formulations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increased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progressively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reaching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values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91.80% DPPH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inhibition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for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encapsulated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carotenoids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92.32% for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encapsulated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polyphenols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soluble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insoluble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dietary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fibers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from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quince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pomace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performed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classical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acid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MAE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UAE.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effect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yield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chemical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composition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CBA content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technological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properties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dietary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fiber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concentrates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evaluated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nutritional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phytochemical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composition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some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fruits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vegetables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aromatic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herbs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evaluated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Physico-chemical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indicators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established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qualitative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quantitative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profile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bioactive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compounds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(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polyphenols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carotenoids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)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mineral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substances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determined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case of aromatic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plants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it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been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shown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that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 direct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similarity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between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accumulation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CBA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mineral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substances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response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surface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methodology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used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develop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vegetable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yogurt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based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on a </w:t>
            </w:r>
            <w:proofErr w:type="spellStart"/>
            <w:r w:rsidRPr="00F824F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MD"/>
              </w:rPr>
              <w:t>Juglans</w:t>
            </w:r>
            <w:proofErr w:type="spellEnd"/>
            <w:r w:rsidRPr="00F824F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MD"/>
              </w:rPr>
              <w:t xml:space="preserve"> regia</w:t>
            </w:r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L. nut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emulsion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drink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lactose-free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acceptable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terms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quality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sensory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properties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Agrobiological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viticultural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technological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analyses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5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types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grapes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harvested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from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different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areas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RM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carried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out. In 2024,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ripening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berries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began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15-20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days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earlier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grape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harvest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decreased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20-50%,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must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yield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decreased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30-40%.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feasibility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protein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stability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tests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for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white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wines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evaluated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degree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contamination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with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microorganisms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wines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produced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microvinification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determined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applying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RT-PCR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composition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wine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yeast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influence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extraction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origin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yeast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yield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type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extracted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β-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glucans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tested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autolysis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provided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higher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yields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of β-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glucan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compared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acid-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base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method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An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empirical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study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conducted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consumer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perceptions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behaviors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organic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plant-based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front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labels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Recommendations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formulated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contribute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to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improving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food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labeling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policies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RM. 23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articles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published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,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which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9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articles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in Web of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Science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SCOPUS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journals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results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disseminated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at 8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scientific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forums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One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doctoral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thesis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one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habilitated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doctor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thesis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defended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catalog of </w:t>
            </w:r>
            <w:proofErr w:type="spellStart"/>
            <w:r w:rsidRPr="00F824F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MD"/>
              </w:rPr>
              <w:t>Brettanomyces</w:t>
            </w:r>
            <w:proofErr w:type="spellEnd"/>
            <w:r w:rsidRPr="00F824F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o-MD"/>
              </w:rPr>
              <w:t>bruxellensis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microorganisms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isolated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and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sequenced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from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culture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completed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(5). 11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patents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were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obtained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. The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international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conference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MTFI-2024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was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organized</w:t>
            </w:r>
            <w:proofErr w:type="spellEnd"/>
            <w:r w:rsidRPr="00F824F8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.</w:t>
            </w:r>
          </w:p>
        </w:tc>
      </w:tr>
    </w:tbl>
    <w:p w14:paraId="31327E0C" w14:textId="77777777" w:rsidR="002E7F98" w:rsidRPr="00F824F8" w:rsidRDefault="002E7F98" w:rsidP="002E7F98">
      <w:pPr>
        <w:spacing w:after="0" w:line="276" w:lineRule="auto"/>
        <w:rPr>
          <w:rFonts w:ascii="Times New Roman" w:hAnsi="Times New Roman"/>
          <w:sz w:val="24"/>
          <w:szCs w:val="24"/>
          <w:lang w:val="ro-MD"/>
        </w:rPr>
      </w:pPr>
    </w:p>
    <w:p w14:paraId="791A58F0" w14:textId="77777777" w:rsidR="002E7F98" w:rsidRPr="00F824F8" w:rsidRDefault="002E7F98" w:rsidP="002E7F98">
      <w:pPr>
        <w:spacing w:after="0" w:line="276" w:lineRule="auto"/>
        <w:rPr>
          <w:rFonts w:ascii="Times New Roman" w:hAnsi="Times New Roman"/>
          <w:sz w:val="24"/>
          <w:szCs w:val="24"/>
          <w:lang w:val="ro-MD"/>
        </w:rPr>
      </w:pPr>
      <w:r w:rsidRPr="00F824F8">
        <w:rPr>
          <w:rFonts w:ascii="Times New Roman" w:hAnsi="Times New Roman"/>
          <w:sz w:val="24"/>
          <w:szCs w:val="24"/>
          <w:lang w:val="ro-MD"/>
        </w:rPr>
        <w:t xml:space="preserve">Coordonatorul subprogramului                             </w:t>
      </w:r>
    </w:p>
    <w:p w14:paraId="02D2F371" w14:textId="77777777" w:rsidR="002E7F98" w:rsidRPr="00F824F8" w:rsidRDefault="002E7F98" w:rsidP="002E7F98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MD" w:eastAsia="ru-RU"/>
        </w:rPr>
      </w:pPr>
      <w:r w:rsidRPr="00F824F8">
        <w:rPr>
          <w:rFonts w:ascii="Times New Roman" w:hAnsi="Times New Roman"/>
          <w:sz w:val="24"/>
          <w:szCs w:val="24"/>
          <w:lang w:val="ro-MD"/>
        </w:rPr>
        <w:t xml:space="preserve">de cercetare </w:t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  <w:t xml:space="preserve">         </w:t>
      </w:r>
      <w:r w:rsidRPr="00F824F8">
        <w:rPr>
          <w:rFonts w:ascii="Times New Roman" w:hAnsi="Times New Roman"/>
          <w:sz w:val="24"/>
          <w:szCs w:val="24"/>
          <w:u w:val="single"/>
          <w:lang w:val="ro-MD"/>
        </w:rPr>
        <w:t xml:space="preserve">GHENDOV-MOȘANU </w:t>
      </w:r>
      <w:proofErr w:type="spellStart"/>
      <w:r w:rsidRPr="00F824F8">
        <w:rPr>
          <w:rFonts w:ascii="Times New Roman" w:hAnsi="Times New Roman"/>
          <w:sz w:val="24"/>
          <w:szCs w:val="24"/>
          <w:u w:val="single"/>
          <w:lang w:val="ro-MD"/>
        </w:rPr>
        <w:t>Aliona</w:t>
      </w:r>
      <w:proofErr w:type="spellEnd"/>
      <w:r w:rsidRPr="00F824F8">
        <w:rPr>
          <w:rFonts w:ascii="Times New Roman" w:hAnsi="Times New Roman"/>
          <w:sz w:val="24"/>
          <w:szCs w:val="24"/>
          <w:u w:val="single"/>
          <w:lang w:val="ro-MD"/>
        </w:rPr>
        <w:t xml:space="preserve">, dr. </w:t>
      </w:r>
      <w:proofErr w:type="spellStart"/>
      <w:r w:rsidRPr="00F824F8">
        <w:rPr>
          <w:rFonts w:ascii="Times New Roman" w:hAnsi="Times New Roman"/>
          <w:sz w:val="24"/>
          <w:szCs w:val="24"/>
          <w:u w:val="single"/>
          <w:lang w:val="ro-MD"/>
        </w:rPr>
        <w:t>hab</w:t>
      </w:r>
      <w:proofErr w:type="spellEnd"/>
      <w:r w:rsidRPr="00F824F8">
        <w:rPr>
          <w:rFonts w:ascii="Times New Roman" w:hAnsi="Times New Roman"/>
          <w:sz w:val="24"/>
          <w:szCs w:val="24"/>
          <w:u w:val="single"/>
          <w:lang w:val="ro-MD"/>
        </w:rPr>
        <w:t>.</w:t>
      </w:r>
      <w:r w:rsidRPr="00F824F8">
        <w:rPr>
          <w:rFonts w:ascii="Times New Roman" w:hAnsi="Times New Roman"/>
          <w:sz w:val="24"/>
          <w:szCs w:val="24"/>
          <w:lang w:val="ro-MD"/>
        </w:rPr>
        <w:t xml:space="preserve">        ________</w:t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  <w:t xml:space="preserve">                   </w:t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</w:r>
      <w:r w:rsidRPr="00F824F8">
        <w:rPr>
          <w:rFonts w:ascii="Times New Roman" w:hAnsi="Times New Roman"/>
          <w:sz w:val="24"/>
          <w:szCs w:val="24"/>
          <w:lang w:val="ro-MD"/>
        </w:rPr>
        <w:tab/>
        <w:t xml:space="preserve"> </w:t>
      </w:r>
      <w:r w:rsidRPr="00F824F8">
        <w:rPr>
          <w:rFonts w:ascii="Times New Roman" w:hAnsi="Times New Roman"/>
          <w:szCs w:val="24"/>
          <w:lang w:val="ro-MD"/>
        </w:rPr>
        <w:t xml:space="preserve">(numele, prenumele) </w:t>
      </w:r>
      <w:r w:rsidRPr="00F824F8">
        <w:rPr>
          <w:rFonts w:ascii="Times New Roman" w:hAnsi="Times New Roman"/>
          <w:szCs w:val="24"/>
          <w:lang w:val="ro-MD"/>
        </w:rPr>
        <w:tab/>
      </w:r>
      <w:r w:rsidRPr="00F824F8">
        <w:rPr>
          <w:rFonts w:ascii="Times New Roman" w:hAnsi="Times New Roman"/>
          <w:szCs w:val="24"/>
          <w:lang w:val="ro-MD"/>
        </w:rPr>
        <w:tab/>
        <w:t xml:space="preserve">        (semnătura)</w:t>
      </w:r>
    </w:p>
    <w:p w14:paraId="79B3FF72" w14:textId="1A78F2B7" w:rsidR="002C693E" w:rsidRPr="002E7F98" w:rsidRDefault="002E7F98" w:rsidP="002E7F98">
      <w:pPr>
        <w:spacing w:after="120" w:line="276" w:lineRule="auto"/>
        <w:rPr>
          <w:rFonts w:ascii="Times New Roman" w:eastAsia="Times New Roman" w:hAnsi="Times New Roman"/>
          <w:sz w:val="24"/>
          <w:szCs w:val="24"/>
          <w:lang w:val="ro-MD" w:eastAsia="ru-RU"/>
        </w:rPr>
      </w:pPr>
      <w:r w:rsidRPr="00F824F8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Data: </w:t>
      </w:r>
      <w:r w:rsidRPr="00F824F8">
        <w:rPr>
          <w:rFonts w:ascii="Times New Roman" w:eastAsia="Times New Roman" w:hAnsi="Times New Roman"/>
          <w:sz w:val="24"/>
          <w:szCs w:val="24"/>
          <w:u w:val="single"/>
          <w:lang w:val="ro-MD" w:eastAsia="ru-RU"/>
        </w:rPr>
        <w:t>15.01.2025</w:t>
      </w:r>
      <w:r w:rsidRPr="00F824F8">
        <w:rPr>
          <w:rFonts w:ascii="Times New Roman" w:eastAsia="Times New Roman" w:hAnsi="Times New Roman"/>
          <w:sz w:val="24"/>
          <w:szCs w:val="24"/>
          <w:lang w:val="ro-MD" w:eastAsia="ru-RU"/>
        </w:rPr>
        <w:t xml:space="preserve"> </w:t>
      </w:r>
    </w:p>
    <w:sectPr w:rsidR="002C693E" w:rsidRPr="002E7F98" w:rsidSect="002E7F9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98"/>
    <w:rsid w:val="002C693E"/>
    <w:rsid w:val="002E7F98"/>
    <w:rsid w:val="002F074D"/>
    <w:rsid w:val="004F2056"/>
    <w:rsid w:val="007229CC"/>
    <w:rsid w:val="00723148"/>
    <w:rsid w:val="007D4925"/>
    <w:rsid w:val="0086504D"/>
    <w:rsid w:val="0087150C"/>
    <w:rsid w:val="0091579F"/>
    <w:rsid w:val="00940FB0"/>
    <w:rsid w:val="0096554C"/>
    <w:rsid w:val="009C4A64"/>
    <w:rsid w:val="009E0496"/>
    <w:rsid w:val="00AE4677"/>
    <w:rsid w:val="00CE5CB0"/>
    <w:rsid w:val="00D25AAE"/>
    <w:rsid w:val="00D51A5F"/>
    <w:rsid w:val="00F23381"/>
    <w:rsid w:val="00F27F57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1C81"/>
  <w15:chartTrackingRefBased/>
  <w15:docId w15:val="{3D43FE82-F1DF-43D5-9F18-6113140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98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F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F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F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2E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2E7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9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2E7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98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IntenseEmphasis">
    <w:name w:val="Intense Emphasis"/>
    <w:basedOn w:val="DefaultParagraphFont"/>
    <w:uiPriority w:val="21"/>
    <w:qFormat/>
    <w:rsid w:val="002E7F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9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aliases w:val="Body"/>
    <w:link w:val="NoSpacingChar"/>
    <w:uiPriority w:val="99"/>
    <w:qFormat/>
    <w:rsid w:val="002E7F9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  <w:style w:type="character" w:customStyle="1" w:styleId="NoSpacingChar">
    <w:name w:val="No Spacing Char"/>
    <w:aliases w:val="Body Char"/>
    <w:link w:val="NoSpacing"/>
    <w:uiPriority w:val="99"/>
    <w:locked/>
    <w:rsid w:val="002E7F98"/>
    <w:rPr>
      <w:rFonts w:ascii="Microsoft Sans Serif" w:eastAsia="Microsoft Sans Serif" w:hAnsi="Microsoft Sans Serif" w:cs="Microsoft Sans Serif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</cp:revision>
  <dcterms:created xsi:type="dcterms:W3CDTF">2025-01-30T13:06:00Z</dcterms:created>
  <dcterms:modified xsi:type="dcterms:W3CDTF">2025-01-30T13:07:00Z</dcterms:modified>
</cp:coreProperties>
</file>