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3CBF" w14:textId="77777777" w:rsidR="00E97D76" w:rsidRPr="00D86224" w:rsidRDefault="00E97D76" w:rsidP="000729AB">
      <w:pPr>
        <w:spacing w:after="0"/>
        <w:jc w:val="center"/>
        <w:rPr>
          <w:rFonts w:ascii="Times New Roman" w:hAnsi="Times New Roman"/>
          <w:b/>
          <w:bCs/>
          <w:sz w:val="24"/>
          <w:szCs w:val="24"/>
          <w:lang w:val="ro-RO"/>
        </w:rPr>
      </w:pPr>
      <w:bookmarkStart w:id="0" w:name="_Toc358014122"/>
      <w:r w:rsidRPr="00D86224">
        <w:rPr>
          <w:rFonts w:ascii="Times New Roman" w:hAnsi="Times New Roman"/>
          <w:b/>
          <w:bCs/>
          <w:sz w:val="24"/>
          <w:szCs w:val="24"/>
          <w:lang w:val="ro-RO"/>
        </w:rPr>
        <w:t xml:space="preserve">Rezumatul activității și a rezultatelor obținute în </w:t>
      </w:r>
      <w:r w:rsidRPr="00D86224">
        <w:rPr>
          <w:rFonts w:ascii="Times New Roman" w:hAnsi="Times New Roman"/>
          <w:b/>
          <w:bCs/>
          <w:color w:val="000000"/>
          <w:sz w:val="24"/>
          <w:szCs w:val="24"/>
          <w:lang w:val="ro-RO"/>
        </w:rPr>
        <w:t>subprogram</w:t>
      </w:r>
      <w:r w:rsidRPr="00D86224">
        <w:rPr>
          <w:rFonts w:ascii="Times New Roman" w:hAnsi="Times New Roman"/>
          <w:b/>
          <w:bCs/>
          <w:sz w:val="24"/>
          <w:szCs w:val="24"/>
          <w:lang w:val="ro-RO"/>
        </w:rPr>
        <w:t xml:space="preserve"> în anul 2024</w:t>
      </w:r>
    </w:p>
    <w:p w14:paraId="3070103A" w14:textId="4C405DDA" w:rsidR="00F949EE" w:rsidRPr="000729AB" w:rsidRDefault="000729AB" w:rsidP="000729AB">
      <w:pPr>
        <w:spacing w:after="0" w:line="240" w:lineRule="auto"/>
        <w:jc w:val="center"/>
        <w:rPr>
          <w:rStyle w:val="Hyperlink"/>
          <w:rFonts w:ascii="Times New Roman" w:hAnsi="Times New Roman"/>
          <w:b/>
          <w:bCs/>
          <w:color w:val="auto"/>
          <w:sz w:val="24"/>
          <w:szCs w:val="24"/>
          <w:u w:val="none"/>
        </w:rPr>
      </w:pPr>
      <w:r w:rsidRPr="000729AB">
        <w:rPr>
          <w:rStyle w:val="Hyperlink"/>
          <w:rFonts w:ascii="Times New Roman" w:hAnsi="Times New Roman"/>
          <w:b/>
          <w:bCs/>
          <w:color w:val="auto"/>
          <w:sz w:val="24"/>
          <w:szCs w:val="24"/>
          <w:u w:val="none"/>
        </w:rPr>
        <w:t>STUDII COMPLEXE GEOLOGO-HIDROGEOLOGICE ȘI GEOCHIMICE PRIVIND AMENAJAREA</w:t>
      </w:r>
      <w:r>
        <w:rPr>
          <w:rStyle w:val="Hyperlink"/>
          <w:rFonts w:ascii="Times New Roman" w:hAnsi="Times New Roman"/>
          <w:b/>
          <w:bCs/>
          <w:color w:val="auto"/>
          <w:sz w:val="24"/>
          <w:szCs w:val="24"/>
          <w:u w:val="none"/>
        </w:rPr>
        <w:t xml:space="preserve"> </w:t>
      </w:r>
      <w:r w:rsidRPr="000729AB">
        <w:rPr>
          <w:rStyle w:val="Hyperlink"/>
          <w:rFonts w:ascii="Times New Roman" w:hAnsi="Times New Roman"/>
          <w:b/>
          <w:bCs/>
          <w:color w:val="auto"/>
          <w:sz w:val="24"/>
          <w:szCs w:val="24"/>
          <w:u w:val="none"/>
        </w:rPr>
        <w:t>DEPOZITELOR PENTRU</w:t>
      </w:r>
      <w:r w:rsidRPr="000729AB">
        <w:rPr>
          <w:rFonts w:ascii="Times New Roman" w:hAnsi="Times New Roman"/>
          <w:b/>
          <w:bCs/>
          <w:sz w:val="24"/>
          <w:szCs w:val="24"/>
          <w:shd w:val="clear" w:color="auto" w:fill="FFFFFF"/>
        </w:rPr>
        <w:t xml:space="preserve"> ÎNMAGAZINAREA SUBTERANĂ A GAZELOR NATURALE </w:t>
      </w:r>
      <w:r w:rsidRPr="000729AB">
        <w:rPr>
          <w:rStyle w:val="Hyperlink"/>
          <w:rFonts w:ascii="Times New Roman" w:hAnsi="Times New Roman"/>
          <w:b/>
          <w:bCs/>
          <w:color w:val="auto"/>
          <w:sz w:val="24"/>
          <w:szCs w:val="24"/>
          <w:u w:val="none"/>
        </w:rPr>
        <w:t>ÎN PARTEA DE</w:t>
      </w:r>
      <w:r>
        <w:rPr>
          <w:rStyle w:val="Hyperlink"/>
          <w:rFonts w:ascii="Times New Roman" w:hAnsi="Times New Roman"/>
          <w:b/>
          <w:bCs/>
          <w:color w:val="auto"/>
          <w:sz w:val="24"/>
          <w:szCs w:val="24"/>
          <w:u w:val="none"/>
        </w:rPr>
        <w:t xml:space="preserve"> </w:t>
      </w:r>
      <w:r w:rsidRPr="000729AB">
        <w:rPr>
          <w:rStyle w:val="Hyperlink"/>
          <w:rFonts w:ascii="Times New Roman" w:hAnsi="Times New Roman"/>
          <w:b/>
          <w:bCs/>
          <w:color w:val="auto"/>
          <w:sz w:val="24"/>
          <w:szCs w:val="24"/>
          <w:u w:val="none"/>
        </w:rPr>
        <w:t>CENTRU -VEST A REPUBLICII MOLDOVA (TEORIE, METODOLOGIE SI FEZABILITATE)</w:t>
      </w:r>
    </w:p>
    <w:p w14:paraId="61E3CA08" w14:textId="77777777" w:rsidR="000729AB" w:rsidRPr="00487CA9" w:rsidRDefault="000729AB" w:rsidP="000729AB">
      <w:pPr>
        <w:pStyle w:val="NoSpacing"/>
        <w:spacing w:line="276" w:lineRule="auto"/>
        <w:jc w:val="center"/>
        <w:rPr>
          <w:rFonts w:ascii="Times New Roman" w:hAnsi="Times New Roman"/>
          <w:bCs/>
          <w:iCs/>
          <w:color w:val="auto"/>
          <w:szCs w:val="32"/>
        </w:rPr>
      </w:pPr>
      <w:r w:rsidRPr="00487CA9">
        <w:rPr>
          <w:rFonts w:ascii="Times New Roman" w:hAnsi="Times New Roman"/>
          <w:bCs/>
          <w:iCs/>
          <w:color w:val="auto"/>
          <w:szCs w:val="32"/>
        </w:rPr>
        <w:t>(denumirea subprogramului)</w:t>
      </w:r>
    </w:p>
    <w:p w14:paraId="68D439B4" w14:textId="77777777" w:rsidR="00855C41" w:rsidRPr="000729AB" w:rsidRDefault="00855C41" w:rsidP="00D86224">
      <w:pPr>
        <w:spacing w:after="0" w:line="240" w:lineRule="auto"/>
        <w:jc w:val="center"/>
        <w:rPr>
          <w:rStyle w:val="Hyperlink"/>
          <w:rFonts w:ascii="Times New Roman" w:hAnsi="Times New Roman"/>
          <w:b/>
          <w:bCs/>
          <w:color w:val="auto"/>
          <w:sz w:val="24"/>
          <w:szCs w:val="24"/>
          <w:u w:val="none"/>
        </w:rPr>
      </w:pPr>
    </w:p>
    <w:p w14:paraId="738AEF0D" w14:textId="0AC091C0" w:rsidR="00E97D76" w:rsidRDefault="00E97D76" w:rsidP="000729AB">
      <w:pPr>
        <w:spacing w:after="0" w:line="276" w:lineRule="auto"/>
        <w:rPr>
          <w:rFonts w:ascii="Times New Roman" w:hAnsi="Times New Roman"/>
          <w:sz w:val="24"/>
          <w:szCs w:val="24"/>
          <w:lang w:val="ro-RO"/>
        </w:rPr>
      </w:pPr>
      <w:r w:rsidRPr="00D86224">
        <w:rPr>
          <w:rFonts w:ascii="Times New Roman" w:hAnsi="Times New Roman"/>
          <w:sz w:val="24"/>
          <w:szCs w:val="24"/>
          <w:lang w:val="ro-RO"/>
        </w:rPr>
        <w:t xml:space="preserve">Codul </w:t>
      </w:r>
      <w:r w:rsidRPr="00D86224">
        <w:rPr>
          <w:rFonts w:ascii="Times New Roman" w:hAnsi="Times New Roman"/>
          <w:color w:val="000000"/>
          <w:sz w:val="24"/>
          <w:szCs w:val="24"/>
          <w:lang w:val="ro-RO"/>
        </w:rPr>
        <w:t>subprogram</w:t>
      </w:r>
      <w:r w:rsidRPr="00D86224">
        <w:rPr>
          <w:rFonts w:ascii="Times New Roman" w:hAnsi="Times New Roman"/>
          <w:sz w:val="24"/>
          <w:szCs w:val="24"/>
          <w:lang w:val="ro-RO"/>
        </w:rPr>
        <w:t>ului</w:t>
      </w:r>
      <w:r w:rsidR="00F949EE" w:rsidRPr="00D86224">
        <w:rPr>
          <w:rFonts w:ascii="Times New Roman" w:hAnsi="Times New Roman"/>
          <w:sz w:val="24"/>
          <w:szCs w:val="24"/>
          <w:lang w:val="ro-RO"/>
        </w:rPr>
        <w:t>:</w:t>
      </w:r>
      <w:r w:rsidRPr="00D86224">
        <w:rPr>
          <w:rFonts w:ascii="Times New Roman" w:hAnsi="Times New Roman"/>
          <w:sz w:val="24"/>
          <w:szCs w:val="24"/>
          <w:lang w:val="ro-RO"/>
        </w:rPr>
        <w:t xml:space="preserve"> </w:t>
      </w:r>
      <w:r w:rsidR="00F949EE" w:rsidRPr="000729AB">
        <w:rPr>
          <w:rFonts w:ascii="Times New Roman" w:hAnsi="Times New Roman"/>
          <w:b/>
          <w:bCs/>
          <w:sz w:val="24"/>
          <w:szCs w:val="24"/>
          <w:lang w:val="ro-RO"/>
        </w:rPr>
        <w:t>010902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97D76" w:rsidRPr="00D61877" w14:paraId="7319646C" w14:textId="77777777" w:rsidTr="00D5405D">
        <w:tc>
          <w:tcPr>
            <w:tcW w:w="9558" w:type="dxa"/>
            <w:shd w:val="clear" w:color="auto" w:fill="auto"/>
          </w:tcPr>
          <w:p w14:paraId="629A71DC" w14:textId="0C33122D" w:rsidR="004B4B2E" w:rsidRPr="00EA3979" w:rsidRDefault="004B4B2E" w:rsidP="000729AB">
            <w:pPr>
              <w:spacing w:after="0" w:line="240" w:lineRule="auto"/>
              <w:jc w:val="both"/>
              <w:rPr>
                <w:rFonts w:ascii="Times New Roman" w:hAnsi="Times New Roman"/>
                <w:color w:val="191919"/>
                <w:sz w:val="24"/>
                <w:szCs w:val="24"/>
                <w:shd w:val="clear" w:color="auto" w:fill="FFFFFF"/>
              </w:rPr>
            </w:pPr>
            <w:r w:rsidRPr="00EA3979">
              <w:rPr>
                <w:rFonts w:ascii="Times New Roman" w:hAnsi="Times New Roman"/>
                <w:color w:val="000000"/>
                <w:sz w:val="24"/>
                <w:szCs w:val="24"/>
                <w:lang w:val="ro-RO"/>
              </w:rPr>
              <w:t>Cercetarea științifică prezentă, îndeosebi  în cadrul primei ei etape  a.2024, este sub motivația  economică și socială reală a țarii noastre</w:t>
            </w:r>
            <w:r w:rsidR="00567E5D" w:rsidRPr="00EA3979">
              <w:rPr>
                <w:rFonts w:ascii="Times New Roman" w:hAnsi="Times New Roman"/>
                <w:color w:val="000000"/>
                <w:sz w:val="24"/>
                <w:szCs w:val="24"/>
                <w:lang w:val="ro-RO"/>
              </w:rPr>
              <w:t>:</w:t>
            </w:r>
            <w:r w:rsidRPr="00EA3979">
              <w:rPr>
                <w:rFonts w:ascii="Times New Roman" w:hAnsi="Times New Roman"/>
                <w:color w:val="000000"/>
                <w:sz w:val="24"/>
                <w:szCs w:val="24"/>
                <w:lang w:val="ro-RO"/>
              </w:rPr>
              <w:t xml:space="preserve"> î</w:t>
            </w:r>
            <w:r w:rsidRPr="00EA3979">
              <w:rPr>
                <w:rFonts w:ascii="Times New Roman" w:eastAsia="Lato-Regular" w:hAnsi="Times New Roman"/>
                <w:sz w:val="24"/>
                <w:szCs w:val="24"/>
                <w:lang w:val="ro-RO"/>
              </w:rPr>
              <w:t xml:space="preserve">n Europa, Republica Moldova este pe ultimele locuri în topul securității energetice, În acest context, </w:t>
            </w:r>
            <w:r w:rsidRPr="00EA3979">
              <w:rPr>
                <w:rFonts w:ascii="Times New Roman" w:hAnsi="Times New Roman"/>
                <w:color w:val="191919"/>
                <w:sz w:val="24"/>
                <w:szCs w:val="24"/>
                <w:shd w:val="clear" w:color="auto" w:fill="FFFFFF"/>
              </w:rPr>
              <w:t>realizarea cu succes a reformelor actuale/viitoare şi depăşirea problemelor energetice sunt corelate direct cu necesitatea stringentă a creării Depozitelor Subterane de Gaze (DSG) naturale. Pînă în present, țara noastră nu dispune de experiență nici practică, nici metodologică în domeniul DSG.</w:t>
            </w:r>
          </w:p>
          <w:p w14:paraId="4C2A7E7A" w14:textId="038BA966" w:rsidR="00E97D76" w:rsidRPr="00EA3979" w:rsidRDefault="004B4B2E" w:rsidP="000729AB">
            <w:pPr>
              <w:spacing w:after="0" w:line="240" w:lineRule="auto"/>
              <w:jc w:val="both"/>
              <w:rPr>
                <w:rFonts w:ascii="Times New Roman" w:hAnsi="Times New Roman"/>
                <w:sz w:val="24"/>
                <w:szCs w:val="24"/>
                <w:shd w:val="clear" w:color="auto" w:fill="FFFFFF"/>
              </w:rPr>
            </w:pPr>
            <w:r w:rsidRPr="00EA3979">
              <w:rPr>
                <w:rFonts w:ascii="Times New Roman" w:hAnsi="Times New Roman"/>
                <w:sz w:val="24"/>
                <w:szCs w:val="24"/>
              </w:rPr>
              <w:t xml:space="preserve">Consultarea </w:t>
            </w:r>
            <w:r w:rsidRPr="00EA3979">
              <w:rPr>
                <w:rFonts w:ascii="Times New Roman" w:hAnsi="Times New Roman"/>
                <w:sz w:val="24"/>
                <w:szCs w:val="24"/>
                <w:lang w:val="ro-RO"/>
              </w:rPr>
              <w:t xml:space="preserve">experinței internaționale </w:t>
            </w:r>
            <w:r w:rsidR="00567E5D" w:rsidRPr="00EA3979">
              <w:rPr>
                <w:rFonts w:ascii="Times New Roman" w:hAnsi="Times New Roman"/>
                <w:sz w:val="24"/>
                <w:szCs w:val="24"/>
                <w:lang w:val="ro-RO"/>
              </w:rPr>
              <w:t>expusă</w:t>
            </w:r>
            <w:r w:rsidRPr="00EA3979">
              <w:rPr>
                <w:rFonts w:ascii="Times New Roman" w:hAnsi="Times New Roman"/>
                <w:sz w:val="24"/>
                <w:szCs w:val="24"/>
                <w:lang w:val="ro-RO"/>
              </w:rPr>
              <w:t xml:space="preserve"> în </w:t>
            </w:r>
            <w:r w:rsidRPr="00EA3979">
              <w:rPr>
                <w:rFonts w:ascii="Times New Roman" w:hAnsi="Times New Roman"/>
                <w:sz w:val="24"/>
                <w:szCs w:val="24"/>
              </w:rPr>
              <w:t xml:space="preserve">literatura pe domeniu este o parte extrem de importantă a etapei a.2024. </w:t>
            </w:r>
            <w:r w:rsidRPr="00EA3979">
              <w:rPr>
                <w:rFonts w:ascii="Times New Roman" w:hAnsi="Times New Roman"/>
                <w:sz w:val="24"/>
                <w:szCs w:val="24"/>
                <w:shd w:val="clear" w:color="auto" w:fill="FFFFFF"/>
              </w:rPr>
              <w:t xml:space="preserve">Reviziuirea literaturii internaționale în domeniul DSG sa efectuat pentru a rezuma și sinteza argumentele și ideele progressive, </w:t>
            </w:r>
            <w:r w:rsidRPr="00EA3979">
              <w:rPr>
                <w:rFonts w:ascii="Times New Roman" w:hAnsi="Times New Roman"/>
                <w:sz w:val="24"/>
                <w:szCs w:val="24"/>
              </w:rPr>
              <w:t>cât şi a explica stadiul complet şi actual al cunoaşterii pe subiectul selectat</w:t>
            </w:r>
            <w:r w:rsidRPr="00EA3979">
              <w:rPr>
                <w:rFonts w:ascii="Times New Roman" w:hAnsi="Times New Roman"/>
                <w:sz w:val="24"/>
                <w:szCs w:val="24"/>
                <w:shd w:val="clear" w:color="auto" w:fill="FFFFFF"/>
              </w:rPr>
              <w:t xml:space="preserve">. </w:t>
            </w:r>
            <w:r w:rsidRPr="00EA3979">
              <w:rPr>
                <w:rFonts w:ascii="Times New Roman" w:hAnsi="Times New Roman"/>
                <w:sz w:val="24"/>
                <w:szCs w:val="24"/>
              </w:rPr>
              <w:t xml:space="preserve">In calitate de surse de informații sau folosit Bazele de date Scopus, Research Gate, Copernicus, Mendeleev, </w:t>
            </w:r>
            <w:r w:rsidRPr="00EA3979">
              <w:rPr>
                <w:rFonts w:ascii="Times New Roman" w:hAnsi="Times New Roman"/>
                <w:sz w:val="24"/>
                <w:szCs w:val="24"/>
                <w:lang w:val="ru-MD"/>
              </w:rPr>
              <w:t>ИСТИНА</w:t>
            </w:r>
            <w:r w:rsidRPr="00EA3979">
              <w:rPr>
                <w:rFonts w:ascii="Times New Roman" w:hAnsi="Times New Roman"/>
                <w:sz w:val="24"/>
                <w:szCs w:val="24"/>
              </w:rPr>
              <w:t xml:space="preserve"> (Rusia), Wiley online library și a bibliotecii online a Universitații Massachusetts din Boston, SUA.  În domeniul de interes publicații sunt puține, fiindcă majoritatea informației referitor la DSG este clasificată.  Sau studiat cca 300 </w:t>
            </w:r>
            <w:r w:rsidRPr="00EA3979">
              <w:rPr>
                <w:rFonts w:ascii="Times New Roman" w:hAnsi="Times New Roman"/>
                <w:sz w:val="24"/>
                <w:szCs w:val="24"/>
                <w:shd w:val="clear" w:color="auto" w:fill="FFFFFF"/>
                <w:lang w:val="ro-RO"/>
              </w:rPr>
              <w:t>publicații internaționale cu arhivarea copiilor originale</w:t>
            </w:r>
            <w:r w:rsidRPr="00EA3979">
              <w:rPr>
                <w:rFonts w:ascii="Times New Roman" w:hAnsi="Times New Roman"/>
                <w:sz w:val="24"/>
                <w:szCs w:val="24"/>
                <w:shd w:val="clear" w:color="auto" w:fill="FFFFFF"/>
              </w:rPr>
              <w:t xml:space="preserve">, rezumatelor și a link-urilor active. Alt </w:t>
            </w:r>
            <w:proofErr w:type="gramStart"/>
            <w:r w:rsidRPr="00EA3979">
              <w:rPr>
                <w:rFonts w:ascii="Times New Roman" w:hAnsi="Times New Roman"/>
                <w:sz w:val="24"/>
                <w:szCs w:val="24"/>
                <w:shd w:val="clear" w:color="auto" w:fill="FFFFFF"/>
              </w:rPr>
              <w:t>rezultat  este</w:t>
            </w:r>
            <w:proofErr w:type="gramEnd"/>
            <w:r w:rsidRPr="00EA3979">
              <w:rPr>
                <w:rFonts w:ascii="Times New Roman" w:hAnsi="Times New Roman"/>
                <w:sz w:val="24"/>
                <w:szCs w:val="24"/>
                <w:shd w:val="clear" w:color="auto" w:fill="FFFFFF"/>
              </w:rPr>
              <w:t xml:space="preserve"> Rezumatul reviziurii literaturii (cca 50 p.). </w:t>
            </w:r>
            <w:r w:rsidRPr="00EA3979">
              <w:rPr>
                <w:rFonts w:ascii="Times New Roman" w:hAnsi="Times New Roman"/>
                <w:sz w:val="24"/>
                <w:szCs w:val="24"/>
                <w:shd w:val="clear" w:color="auto" w:fill="FFFFFF"/>
                <w:lang w:val="ro-RO"/>
              </w:rPr>
              <w:t>Se pregătește publicația acestor date.</w:t>
            </w:r>
            <w:r w:rsidRPr="00EA3979">
              <w:rPr>
                <w:rFonts w:ascii="Times New Roman" w:hAnsi="Times New Roman"/>
                <w:sz w:val="24"/>
                <w:szCs w:val="24"/>
                <w:shd w:val="clear" w:color="auto" w:fill="FFFFFF"/>
              </w:rPr>
              <w:t xml:space="preserve"> </w:t>
            </w:r>
          </w:p>
          <w:p w14:paraId="6FD5529C" w14:textId="32849420" w:rsidR="005D2DA4" w:rsidRPr="00EA3979" w:rsidRDefault="005D2DA4" w:rsidP="000729AB">
            <w:pPr>
              <w:spacing w:after="0" w:line="240" w:lineRule="auto"/>
              <w:jc w:val="both"/>
              <w:rPr>
                <w:rFonts w:ascii="Times New Roman" w:hAnsi="Times New Roman"/>
                <w:sz w:val="24"/>
                <w:szCs w:val="24"/>
                <w:lang w:val="ro-RO"/>
              </w:rPr>
            </w:pPr>
            <w:r w:rsidRPr="00EA3979">
              <w:rPr>
                <w:rFonts w:ascii="Times New Roman" w:hAnsi="Times New Roman"/>
                <w:sz w:val="24"/>
                <w:szCs w:val="24"/>
                <w:lang w:val="ro-RO"/>
              </w:rPr>
              <w:t xml:space="preserve">Altă activitatea a fost dedicată colectării și transferului în format digital a unui </w:t>
            </w:r>
            <w:r w:rsidRPr="00EA3979">
              <w:rPr>
                <w:rFonts w:ascii="Times New Roman" w:hAnsi="Times New Roman"/>
                <w:sz w:val="24"/>
                <w:szCs w:val="24"/>
              </w:rPr>
              <w:t>ansamblu un</w:t>
            </w:r>
            <w:r w:rsidR="005E000E" w:rsidRPr="00EA3979">
              <w:rPr>
                <w:rFonts w:ascii="Times New Roman" w:hAnsi="Times New Roman"/>
                <w:sz w:val="24"/>
                <w:szCs w:val="24"/>
              </w:rPr>
              <w:t>ical</w:t>
            </w:r>
            <w:r w:rsidRPr="00EA3979">
              <w:rPr>
                <w:rFonts w:ascii="Times New Roman" w:hAnsi="Times New Roman"/>
                <w:sz w:val="24"/>
                <w:szCs w:val="24"/>
              </w:rPr>
              <w:t xml:space="preserve"> de date geologice și fizic</w:t>
            </w:r>
            <w:r w:rsidRPr="00EA3979">
              <w:rPr>
                <w:rFonts w:ascii="Times New Roman" w:hAnsi="Times New Roman"/>
                <w:sz w:val="24"/>
                <w:szCs w:val="24"/>
                <w:lang w:val="ro-RO"/>
              </w:rPr>
              <w:t>o</w:t>
            </w:r>
            <w:r w:rsidRPr="00EA3979">
              <w:rPr>
                <w:rFonts w:ascii="Times New Roman" w:hAnsi="Times New Roman"/>
                <w:sz w:val="24"/>
                <w:szCs w:val="24"/>
              </w:rPr>
              <w:t>-geografice al părții de centru - vest a Republicii Moldova</w:t>
            </w:r>
            <w:r w:rsidRPr="00EA3979">
              <w:rPr>
                <w:rFonts w:ascii="Times New Roman" w:hAnsi="Times New Roman"/>
                <w:sz w:val="24"/>
                <w:szCs w:val="24"/>
                <w:lang w:val="ro-RO"/>
              </w:rPr>
              <w:t xml:space="preserve">. Ținând cont de structura geologică (geologia structurală, hidrogeologie, geochimie, geofizică) </w:t>
            </w:r>
            <w:r w:rsidRPr="00EA3979">
              <w:rPr>
                <w:rFonts w:ascii="Times New Roman" w:hAnsi="Times New Roman"/>
                <w:sz w:val="24"/>
                <w:szCs w:val="24"/>
              </w:rPr>
              <w:t>par</w:t>
            </w:r>
            <w:r w:rsidRPr="00EA3979">
              <w:rPr>
                <w:rFonts w:ascii="Times New Roman" w:hAnsi="Times New Roman"/>
                <w:sz w:val="24"/>
                <w:szCs w:val="24"/>
                <w:lang w:val="ro-RO"/>
              </w:rPr>
              <w:t>tea</w:t>
            </w:r>
            <w:r w:rsidRPr="00EA3979">
              <w:rPr>
                <w:rFonts w:ascii="Times New Roman" w:hAnsi="Times New Roman"/>
                <w:sz w:val="24"/>
                <w:szCs w:val="24"/>
              </w:rPr>
              <w:t xml:space="preserve"> de centru - vest a Republicii Moldova</w:t>
            </w:r>
            <w:r w:rsidRPr="00EA3979">
              <w:rPr>
                <w:rFonts w:ascii="Times New Roman" w:hAnsi="Times New Roman"/>
                <w:sz w:val="24"/>
                <w:szCs w:val="24"/>
                <w:lang w:val="ro-RO"/>
              </w:rPr>
              <w:t xml:space="preserve"> este bine studiată și </w:t>
            </w:r>
            <w:r w:rsidR="005E000E" w:rsidRPr="00EA3979">
              <w:rPr>
                <w:rFonts w:ascii="Times New Roman" w:hAnsi="Times New Roman"/>
                <w:sz w:val="24"/>
                <w:szCs w:val="24"/>
                <w:lang w:val="ro-RO"/>
              </w:rPr>
              <w:t xml:space="preserve">posedă </w:t>
            </w:r>
            <w:r w:rsidRPr="00EA3979">
              <w:rPr>
                <w:rFonts w:ascii="Times New Roman" w:hAnsi="Times New Roman"/>
                <w:sz w:val="24"/>
                <w:szCs w:val="24"/>
                <w:lang w:val="ro-RO"/>
              </w:rPr>
              <w:t xml:space="preserve">particularități geologice deosebite. </w:t>
            </w:r>
            <w:r w:rsidRPr="00EA3979">
              <w:rPr>
                <w:rFonts w:ascii="Times New Roman" w:hAnsi="Times New Roman"/>
                <w:sz w:val="24"/>
                <w:szCs w:val="24"/>
              </w:rPr>
              <w:t xml:space="preserve">În cele ce urmează sunt prezentate sintetic câteva elemente-cheie </w:t>
            </w:r>
            <w:r w:rsidRPr="00EA3979">
              <w:rPr>
                <w:rFonts w:ascii="Times New Roman" w:hAnsi="Times New Roman"/>
                <w:sz w:val="24"/>
                <w:szCs w:val="24"/>
                <w:lang w:val="ro-RO"/>
              </w:rPr>
              <w:t>din complexul de date</w:t>
            </w:r>
            <w:r w:rsidRPr="00EA3979">
              <w:rPr>
                <w:rFonts w:ascii="Times New Roman" w:hAnsi="Times New Roman"/>
                <w:sz w:val="24"/>
                <w:szCs w:val="24"/>
              </w:rPr>
              <w:t>:</w:t>
            </w:r>
            <w:r w:rsidRPr="00EA3979">
              <w:rPr>
                <w:rFonts w:ascii="Times New Roman" w:hAnsi="Times New Roman"/>
                <w:sz w:val="24"/>
                <w:szCs w:val="24"/>
                <w:lang w:val="ro-RO"/>
              </w:rPr>
              <w:t xml:space="preserve"> studiul ri</w:t>
            </w:r>
            <w:r w:rsidR="000729AB" w:rsidRPr="00EA3979">
              <w:rPr>
                <w:rFonts w:ascii="Times New Roman" w:hAnsi="Times New Roman"/>
                <w:sz w:val="24"/>
                <w:szCs w:val="24"/>
                <w:lang w:val="ro-RO"/>
              </w:rPr>
              <w:t xml:space="preserve">dicărilor geologice la scările topografice </w:t>
            </w:r>
            <w:r w:rsidRPr="00EA3979">
              <w:rPr>
                <w:rFonts w:ascii="Times New Roman" w:hAnsi="Times New Roman"/>
                <w:sz w:val="24"/>
                <w:szCs w:val="24"/>
                <w:lang w:val="ro-RO"/>
              </w:rPr>
              <w:t xml:space="preserve">1:1 000 000, 1: 500 000, 1:200 000, 1: 100 000 și 1:50 000, </w:t>
            </w:r>
            <w:r w:rsidR="005E000E" w:rsidRPr="00EA3979">
              <w:rPr>
                <w:rFonts w:ascii="Times New Roman" w:hAnsi="Times New Roman"/>
                <w:sz w:val="24"/>
                <w:szCs w:val="24"/>
                <w:lang w:val="ro-RO"/>
              </w:rPr>
              <w:t>cartărilor</w:t>
            </w:r>
            <w:r w:rsidRPr="00EA3979">
              <w:rPr>
                <w:rFonts w:ascii="Times New Roman" w:hAnsi="Times New Roman"/>
                <w:sz w:val="24"/>
                <w:szCs w:val="24"/>
                <w:lang w:val="ro-RO"/>
              </w:rPr>
              <w:t xml:space="preserve"> geofizică la diverse scări topografie, care includ prospecțiuni magnetice, seismice, gravimetrice și electrice. O serie de hărți structurale geologice (total 42) la scara 1 : 1 000 000 au fost digitizate pentru prima dată și transferate în format electronic cu scopul folosirii  pentru modelarea numerică a condițiilor geologice. Sau generalizat condițiile tectonice (cartarea faliilor) și geochimice (gaze naturale) pentru teritoriu  </w:t>
            </w:r>
            <w:r w:rsidRPr="00EA3979">
              <w:rPr>
                <w:rFonts w:ascii="Times New Roman" w:hAnsi="Times New Roman"/>
                <w:sz w:val="24"/>
                <w:szCs w:val="24"/>
              </w:rPr>
              <w:t>centru - vest a Republicii Moldova</w:t>
            </w:r>
            <w:r w:rsidRPr="00EA3979">
              <w:rPr>
                <w:rFonts w:ascii="Times New Roman" w:hAnsi="Times New Roman"/>
                <w:sz w:val="24"/>
                <w:szCs w:val="24"/>
                <w:lang w:val="ro-RO"/>
              </w:rPr>
              <w:t>. Analiza detaliată a cca 50 rapoarte geologice în format manuscris a permis întocmirea matricei de date digitale a datelor sondelor adânci, care conține descrierea locației sondei, date litologice, hidrogeologice, geochimice și tehnico-inginerești. Au fost analizate toate structurile geologice anticlinale  din teritoriu R.Moldova - 3</w:t>
            </w:r>
            <w:r w:rsidR="00704B7C" w:rsidRPr="00EA3979">
              <w:rPr>
                <w:rFonts w:ascii="Times New Roman" w:hAnsi="Times New Roman"/>
                <w:sz w:val="24"/>
                <w:szCs w:val="24"/>
                <w:lang w:val="ro-RO"/>
              </w:rPr>
              <w:t>2</w:t>
            </w:r>
            <w:r w:rsidRPr="00EA3979">
              <w:rPr>
                <w:rFonts w:ascii="Times New Roman" w:hAnsi="Times New Roman"/>
                <w:sz w:val="24"/>
                <w:szCs w:val="24"/>
                <w:lang w:val="ro-RO"/>
              </w:rPr>
              <w:t xml:space="preserve"> unități, care sunt studiate nu numai geofizic, dar și prin foraje adânci. Sau evidențiat principalele caracteristici ale acestor anticlinale, cum ar fi amplitudine de curbură, vârstele geologice, parametrii structurali ș.a.  Sau generalizat condițiile hidrogeologice a </w:t>
            </w:r>
            <w:r w:rsidRPr="00EA3979">
              <w:rPr>
                <w:rFonts w:ascii="Times New Roman" w:hAnsi="Times New Roman"/>
                <w:sz w:val="24"/>
                <w:szCs w:val="24"/>
              </w:rPr>
              <w:t>părții de centru - vest a Republicii Moldova</w:t>
            </w:r>
            <w:r w:rsidRPr="00EA3979">
              <w:rPr>
                <w:rFonts w:ascii="Times New Roman" w:hAnsi="Times New Roman"/>
                <w:sz w:val="24"/>
                <w:szCs w:val="24"/>
                <w:lang w:val="ro-RO"/>
              </w:rPr>
              <w:t xml:space="preserve">  pentru toată secțiunea hidrogeologică, ținând cont îndeosebi de geochimia apelor subterane, care este caracterizată în detaliu cu referință la co</w:t>
            </w:r>
            <w:r w:rsidR="00567E5D" w:rsidRPr="00EA3979">
              <w:rPr>
                <w:rFonts w:ascii="Times New Roman" w:hAnsi="Times New Roman"/>
                <w:sz w:val="24"/>
                <w:szCs w:val="24"/>
                <w:lang w:val="ro-RO"/>
              </w:rPr>
              <w:t>nținutul</w:t>
            </w:r>
            <w:r w:rsidRPr="00EA3979">
              <w:rPr>
                <w:rFonts w:ascii="Times New Roman" w:hAnsi="Times New Roman"/>
                <w:sz w:val="24"/>
                <w:szCs w:val="24"/>
                <w:lang w:val="ro-RO"/>
              </w:rPr>
              <w:t xml:space="preserve"> macroelementelor, microelementelor rare și gazelor. Un accent deosebit sa pus pe geochimia elementelor rare industriale – iod, brom, bor, bor, litiu și </w:t>
            </w:r>
            <w:r w:rsidR="00704B7C" w:rsidRPr="00EA3979">
              <w:rPr>
                <w:rFonts w:ascii="Times New Roman" w:hAnsi="Times New Roman"/>
                <w:sz w:val="24"/>
                <w:szCs w:val="24"/>
                <w:lang w:val="ro-RO"/>
              </w:rPr>
              <w:t>stronțiu</w:t>
            </w:r>
            <w:r w:rsidRPr="00EA3979">
              <w:rPr>
                <w:rFonts w:ascii="Times New Roman" w:hAnsi="Times New Roman"/>
                <w:sz w:val="24"/>
                <w:szCs w:val="24"/>
                <w:lang w:val="ro-RO"/>
              </w:rPr>
              <w:t xml:space="preserve"> și din gazele inerte – heliu; toate acestea elemente sunt în concentrații de zăcăminte hidrominerale și </w:t>
            </w:r>
            <w:r w:rsidR="00704B7C" w:rsidRPr="00EA3979">
              <w:rPr>
                <w:rFonts w:ascii="Times New Roman" w:hAnsi="Times New Roman"/>
                <w:sz w:val="24"/>
                <w:szCs w:val="24"/>
                <w:lang w:val="ro-RO"/>
              </w:rPr>
              <w:t>indicatori</w:t>
            </w:r>
            <w:r w:rsidRPr="00EA3979">
              <w:rPr>
                <w:rFonts w:ascii="Times New Roman" w:hAnsi="Times New Roman"/>
                <w:sz w:val="24"/>
                <w:szCs w:val="24"/>
                <w:lang w:val="ro-RO"/>
              </w:rPr>
              <w:t xml:space="preserve"> a capcanelor geologice.</w:t>
            </w:r>
          </w:p>
          <w:p w14:paraId="7C44B67A" w14:textId="6018466C" w:rsidR="006B057E" w:rsidRPr="00EA3979" w:rsidRDefault="006B057E" w:rsidP="000729AB">
            <w:pPr>
              <w:spacing w:after="0" w:line="240" w:lineRule="auto"/>
              <w:jc w:val="both"/>
              <w:rPr>
                <w:rFonts w:ascii="Times New Roman" w:hAnsi="Times New Roman"/>
                <w:sz w:val="24"/>
                <w:szCs w:val="24"/>
              </w:rPr>
            </w:pPr>
            <w:r w:rsidRPr="00EA3979">
              <w:rPr>
                <w:rFonts w:ascii="Times New Roman" w:hAnsi="Times New Roman"/>
                <w:sz w:val="24"/>
                <w:szCs w:val="24"/>
              </w:rPr>
              <w:t xml:space="preserve">Rezultatele obținute au stat la baza </w:t>
            </w:r>
            <w:r w:rsidRPr="00EA3979">
              <w:rPr>
                <w:rFonts w:ascii="Times New Roman" w:hAnsi="Times New Roman"/>
                <w:sz w:val="24"/>
                <w:szCs w:val="24"/>
                <w:shd w:val="clear" w:color="auto" w:fill="FFFFFF"/>
              </w:rPr>
              <w:t xml:space="preserve">argumentării geologice a locației pentru </w:t>
            </w:r>
            <w:r w:rsidRPr="00EA3979">
              <w:rPr>
                <w:rFonts w:ascii="Times New Roman" w:hAnsi="Times New Roman"/>
                <w:sz w:val="24"/>
                <w:szCs w:val="24"/>
                <w:shd w:val="clear" w:color="auto" w:fill="FFFFFF"/>
                <w:lang w:val="ro-RO"/>
              </w:rPr>
              <w:t>DSG.</w:t>
            </w:r>
            <w:r w:rsidRPr="00EA3979">
              <w:rPr>
                <w:rFonts w:ascii="Times New Roman" w:hAnsi="Times New Roman"/>
                <w:sz w:val="24"/>
                <w:szCs w:val="24"/>
                <w:shd w:val="clear" w:color="auto" w:fill="FFFFFF"/>
              </w:rPr>
              <w:t xml:space="preserve"> Din tot teritoriu studiat sa selectat sectorul Ungheni cu dimensiunile 30 km x 22 km = 660 km</w:t>
            </w:r>
            <w:r w:rsidRPr="00EA3979">
              <w:rPr>
                <w:rFonts w:ascii="Times New Roman" w:hAnsi="Times New Roman"/>
                <w:sz w:val="24"/>
                <w:szCs w:val="24"/>
                <w:shd w:val="clear" w:color="auto" w:fill="FFFFFF"/>
                <w:vertAlign w:val="superscript"/>
              </w:rPr>
              <w:t>2</w:t>
            </w:r>
            <w:r w:rsidRPr="00EA3979">
              <w:rPr>
                <w:rFonts w:ascii="Times New Roman" w:hAnsi="Times New Roman"/>
                <w:sz w:val="24"/>
                <w:szCs w:val="24"/>
                <w:shd w:val="clear" w:color="auto" w:fill="FFFFFF"/>
              </w:rPr>
              <w:t>. Acest sector este georeferențiat în coordinate rectangulare</w:t>
            </w:r>
            <w:r w:rsidRPr="00EA3979">
              <w:rPr>
                <w:rFonts w:ascii="Times New Roman" w:hAnsi="Times New Roman"/>
                <w:sz w:val="24"/>
                <w:szCs w:val="24"/>
                <w:shd w:val="clear" w:color="auto" w:fill="FFFFFF"/>
                <w:lang w:val="ro-RO"/>
              </w:rPr>
              <w:t xml:space="preserve">. </w:t>
            </w:r>
            <w:r w:rsidRPr="00EA3979">
              <w:rPr>
                <w:rFonts w:ascii="Times New Roman" w:hAnsi="Times New Roman"/>
                <w:sz w:val="24"/>
                <w:szCs w:val="24"/>
                <w:shd w:val="clear" w:color="auto" w:fill="FFFFFF"/>
              </w:rPr>
              <w:t>În cadrul sectorului Ungheni sunt evidențiate 3 structuri perspective pentru DSG</w:t>
            </w:r>
            <w:r w:rsidRPr="00EA3979">
              <w:rPr>
                <w:rFonts w:ascii="Times New Roman" w:hAnsi="Times New Roman"/>
                <w:sz w:val="24"/>
                <w:szCs w:val="24"/>
                <w:shd w:val="clear" w:color="auto" w:fill="FFFFFF"/>
                <w:lang w:val="ro-RO"/>
              </w:rPr>
              <w:t xml:space="preserve">: Berești, Cetireni și </w:t>
            </w:r>
            <w:r w:rsidR="00567E5D" w:rsidRPr="00EA3979">
              <w:rPr>
                <w:rFonts w:ascii="Times New Roman" w:hAnsi="Times New Roman"/>
                <w:sz w:val="24"/>
                <w:szCs w:val="24"/>
                <w:shd w:val="clear" w:color="auto" w:fill="FFFFFF"/>
                <w:lang w:val="ro-RO"/>
              </w:rPr>
              <w:t>V</w:t>
            </w:r>
            <w:r w:rsidRPr="00EA3979">
              <w:rPr>
                <w:rFonts w:ascii="Times New Roman" w:hAnsi="Times New Roman"/>
                <w:sz w:val="24"/>
                <w:szCs w:val="24"/>
                <w:shd w:val="clear" w:color="auto" w:fill="FFFFFF"/>
                <w:lang w:val="ro-RO"/>
              </w:rPr>
              <w:t xml:space="preserve">alea Cornova. Acestea structuri sunt propuse pentru cercetări detaliate în calitate de DSG.       </w:t>
            </w:r>
            <w:r w:rsidRPr="00EA3979">
              <w:rPr>
                <w:rFonts w:ascii="Times New Roman" w:hAnsi="Times New Roman"/>
                <w:sz w:val="24"/>
                <w:szCs w:val="24"/>
                <w:lang w:val="ro-RO"/>
              </w:rPr>
              <w:t xml:space="preserve">   </w:t>
            </w:r>
          </w:p>
        </w:tc>
      </w:tr>
    </w:tbl>
    <w:p w14:paraId="302E780D" w14:textId="77777777" w:rsidR="00E97D76" w:rsidRPr="00D61877" w:rsidRDefault="00E97D76" w:rsidP="00D86224">
      <w:pPr>
        <w:rPr>
          <w:i/>
          <w:lang w:val="ro-RO"/>
        </w:rPr>
      </w:pPr>
    </w:p>
    <w:p w14:paraId="389EA1EF" w14:textId="77777777" w:rsidR="00EA3979" w:rsidRDefault="00EA3979">
      <w:pPr>
        <w:rPr>
          <w:rFonts w:ascii="Times New Roman" w:hAnsi="Times New Roman"/>
          <w:b/>
          <w:sz w:val="24"/>
          <w:szCs w:val="24"/>
          <w:lang w:val="en-GB"/>
        </w:rPr>
      </w:pPr>
      <w:r>
        <w:rPr>
          <w:rFonts w:ascii="Times New Roman" w:hAnsi="Times New Roman"/>
          <w:b/>
          <w:sz w:val="24"/>
          <w:szCs w:val="24"/>
          <w:lang w:val="en-GB"/>
        </w:rPr>
        <w:br w:type="page"/>
      </w:r>
    </w:p>
    <w:p w14:paraId="65E4575D" w14:textId="00AE4521" w:rsidR="000729AB" w:rsidRPr="00D86224" w:rsidRDefault="000729AB" w:rsidP="000729AB">
      <w:pPr>
        <w:spacing w:after="0" w:line="276" w:lineRule="auto"/>
        <w:jc w:val="center"/>
        <w:rPr>
          <w:rFonts w:ascii="Times New Roman" w:hAnsi="Times New Roman"/>
          <w:b/>
          <w:bCs/>
          <w:sz w:val="24"/>
          <w:szCs w:val="24"/>
          <w:lang w:val="ro-RO"/>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03F867B3" w14:textId="16EEF41C" w:rsidR="000729AB" w:rsidRPr="000729AB" w:rsidRDefault="00C477E9" w:rsidP="000729AB">
      <w:pPr>
        <w:spacing w:after="0" w:line="240" w:lineRule="auto"/>
        <w:jc w:val="center"/>
        <w:rPr>
          <w:rStyle w:val="Hyperlink"/>
          <w:rFonts w:ascii="Times New Roman" w:hAnsi="Times New Roman"/>
          <w:b/>
          <w:bCs/>
          <w:color w:val="auto"/>
          <w:sz w:val="24"/>
          <w:szCs w:val="24"/>
          <w:u w:val="none"/>
        </w:rPr>
      </w:pPr>
      <w:r w:rsidRPr="00C477E9">
        <w:rPr>
          <w:rStyle w:val="Hyperlink"/>
          <w:rFonts w:ascii="Times New Roman" w:hAnsi="Times New Roman"/>
          <w:b/>
          <w:bCs/>
          <w:color w:val="auto"/>
          <w:sz w:val="24"/>
          <w:szCs w:val="24"/>
          <w:u w:val="none"/>
        </w:rPr>
        <w:t>COMPLEX GEOLOGICAL-HYDROGEOLOGICAL AND GEOCHEMICAL STUDIES ON THE DEVELOPMENT OF RESERVOIRS FOR UNDERGROUND STORAGE OF NATURAL GAS IN THE CENTRAL-WESTERN PART OF THE REPUBLIC OF MOLDOVA (THEORY, METHODOLOGY AND FEASIBILITY)</w:t>
      </w:r>
    </w:p>
    <w:p w14:paraId="55F07F5E" w14:textId="77777777" w:rsidR="000729AB" w:rsidRPr="00487CA9" w:rsidRDefault="000729AB" w:rsidP="00F230F0">
      <w:pPr>
        <w:pStyle w:val="NoSpacing"/>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(subprogram name)</w:t>
      </w:r>
    </w:p>
    <w:p w14:paraId="06531EC1" w14:textId="1DA837B0" w:rsidR="000729AB" w:rsidRDefault="000729AB" w:rsidP="000729AB">
      <w:pPr>
        <w:spacing w:after="0" w:line="276" w:lineRule="auto"/>
        <w:rPr>
          <w:rFonts w:ascii="Times New Roman" w:eastAsia="Times New Roman" w:hAnsi="Times New Roman"/>
          <w:b/>
          <w:color w:val="000000"/>
          <w:sz w:val="24"/>
          <w:szCs w:val="24"/>
          <w:bdr w:val="none" w:sz="0" w:space="0" w:color="auto" w:frame="1"/>
          <w:shd w:val="clear" w:color="auto" w:fill="FFFFFF"/>
          <w:lang w:val="ro-RO"/>
        </w:rPr>
      </w:pPr>
      <w:r w:rsidRPr="00487CA9">
        <w:rPr>
          <w:rFonts w:ascii="Times New Roman" w:hAnsi="Times New Roman"/>
          <w:bCs/>
          <w:sz w:val="24"/>
          <w:szCs w:val="24"/>
          <w:lang w:val="en-GB"/>
        </w:rPr>
        <w:t xml:space="preserve">Subprogram code </w:t>
      </w:r>
      <w:r w:rsidRPr="00487CA9">
        <w:rPr>
          <w:rFonts w:ascii="Times New Roman" w:hAnsi="Times New Roman"/>
          <w:b/>
          <w:sz w:val="24"/>
          <w:szCs w:val="24"/>
          <w:lang w:val="en-GB"/>
        </w:rPr>
        <w:t>010</w:t>
      </w:r>
      <w:r>
        <w:rPr>
          <w:rFonts w:ascii="Times New Roman" w:hAnsi="Times New Roman"/>
          <w:b/>
          <w:sz w:val="24"/>
          <w:szCs w:val="24"/>
          <w:lang w:val="en-GB"/>
        </w:rPr>
        <w:t>9</w:t>
      </w:r>
      <w:r>
        <w:rPr>
          <w:rFonts w:ascii="Times New Roman" w:hAnsi="Times New Roman"/>
          <w:b/>
          <w:sz w:val="24"/>
          <w:szCs w:val="24"/>
          <w:lang w:val="en-GB"/>
        </w:rPr>
        <w:t>02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729AB" w:rsidRPr="00D61877" w14:paraId="46707F20" w14:textId="77777777" w:rsidTr="00F230F0">
        <w:tc>
          <w:tcPr>
            <w:tcW w:w="9558" w:type="dxa"/>
            <w:shd w:val="clear" w:color="auto" w:fill="auto"/>
          </w:tcPr>
          <w:p w14:paraId="33AF030C" w14:textId="22D178FC" w:rsidR="000729AB" w:rsidRPr="00D86224" w:rsidRDefault="000729AB" w:rsidP="00EA3979">
            <w:pPr>
              <w:spacing w:after="0" w:line="240" w:lineRule="auto"/>
              <w:jc w:val="both"/>
              <w:rPr>
                <w:rFonts w:ascii="Times New Roman" w:hAnsi="Times New Roman"/>
                <w:sz w:val="24"/>
                <w:szCs w:val="24"/>
                <w:lang w:val="ro-RO"/>
              </w:rPr>
            </w:pPr>
            <w:r w:rsidRPr="00D86224">
              <w:rPr>
                <w:rFonts w:ascii="Times New Roman" w:hAnsi="Times New Roman"/>
                <w:sz w:val="24"/>
                <w:szCs w:val="24"/>
                <w:lang w:val="ro-RO"/>
              </w:rPr>
              <w:t>The current scientific research, especially in its first stage of 2024 year, is under the real economic and social motivation of our country: in Europe, the Republic of Moldova is in the last places in the top of energy security. In this context, the successful implementation of current/future reforms and overcoming energy problems are directly correlated with the urgent need to create natural Underground Gas Storage (UGS). To date, our country has neither practical nor methodological experience in the field of UGS.</w:t>
            </w:r>
          </w:p>
          <w:p w14:paraId="5C14C0B8" w14:textId="77777777" w:rsidR="000729AB" w:rsidRPr="00D86224" w:rsidRDefault="000729AB" w:rsidP="00EA3979">
            <w:pPr>
              <w:spacing w:after="0" w:line="240" w:lineRule="auto"/>
              <w:jc w:val="both"/>
              <w:rPr>
                <w:rFonts w:ascii="Times New Roman" w:hAnsi="Times New Roman"/>
                <w:sz w:val="24"/>
                <w:szCs w:val="24"/>
                <w:lang w:val="ro-RO"/>
              </w:rPr>
            </w:pPr>
            <w:r w:rsidRPr="00D86224">
              <w:rPr>
                <w:rFonts w:ascii="Times New Roman" w:hAnsi="Times New Roman"/>
                <w:sz w:val="24"/>
                <w:szCs w:val="24"/>
                <w:lang w:val="ro-RO"/>
              </w:rPr>
              <w:t>Consulting the international experience presented in the literature on the field is an extremely important part of the 2024 year  stage. The review of the international literature in the field of UGS was carried out in order to summarize and synthesize the progressive arguments and ideas, as well as to explain the complete and current state of knowledge on the selected topic. As sources of information, the following databases were used: Scopus, Research Gate, Copernicus, Mendeleev, ИСТИНА (Russia), Wiley online library and the online library of the University of Massachusetts Boston, USA. There are few publications in the field of interest, because most of the information regarding DSG is classified. About 300 international publications were studied with archiving of original copies, abstracts and active links. Another result is the Summary of the literature review (about 50 p.). The publication of these data is being prepared.</w:t>
            </w:r>
          </w:p>
          <w:p w14:paraId="2332391F" w14:textId="79106EDE" w:rsidR="000729AB" w:rsidRPr="00D86224" w:rsidRDefault="000729AB" w:rsidP="00EA3979">
            <w:pPr>
              <w:spacing w:after="0" w:line="240" w:lineRule="auto"/>
              <w:jc w:val="both"/>
              <w:rPr>
                <w:rFonts w:ascii="Times New Roman" w:hAnsi="Times New Roman"/>
                <w:sz w:val="24"/>
                <w:szCs w:val="24"/>
                <w:lang w:val="ro-RO"/>
              </w:rPr>
            </w:pPr>
            <w:r w:rsidRPr="00D86224">
              <w:rPr>
                <w:rFonts w:ascii="Times New Roman" w:hAnsi="Times New Roman"/>
                <w:sz w:val="24"/>
                <w:szCs w:val="24"/>
                <w:lang w:val="ro-RO"/>
              </w:rPr>
              <w:t>Another activity was dedicated to the collection and transfer in digital format of a complete set of geological and physical-geographical data of the central-western part of the Republic of Moldova. Taking into account the geological structure (structural geology, hydrogeology, geochemistry, geophysics) the central-western part of the Republic of Moldova is well studied and has special geological peculiarities. The following are synthetically presented some key elements of the data complex: the study of geological surveys at topographic scales 1:1 000 000, 1: 500 000, 1:200 000, 1: 100 000 and 1:50 000, geophysical maps at various topographic scales, which include magnetic, seismic, gravimetric and electrical surveys. A series of geological structural maps (total 42) at a scale of 1: 1 000 000 were digitized for the first time and transferred to electronic format for use in numerical modeling of geological conditions. Generalized tectonic (fault mapping) and geochemical (natural gas) conditions for the central-western territory of the Republic of Moldova has been investigated. The detailed analysis of about 50 geological reports in manuscript format allowed the creation of a digital data matrix of deep well data, which contains a description of the well location, lithological, hydrogeological, geochemical and technical-engineering data. All anticline geological structures in the territory of the Republic of Moldova were analyzed - 3</w:t>
            </w:r>
            <w:r>
              <w:rPr>
                <w:rFonts w:ascii="Times New Roman" w:hAnsi="Times New Roman"/>
                <w:sz w:val="24"/>
                <w:szCs w:val="24"/>
                <w:lang w:val="ro-RO"/>
              </w:rPr>
              <w:t>2</w:t>
            </w:r>
            <w:r w:rsidRPr="00D86224">
              <w:rPr>
                <w:rFonts w:ascii="Times New Roman" w:hAnsi="Times New Roman"/>
                <w:sz w:val="24"/>
                <w:szCs w:val="24"/>
                <w:lang w:val="ro-RO"/>
              </w:rPr>
              <w:t xml:space="preserve"> units, which are studied not only geophysically, but also through deep drilling. The main characteristics of these anticlines were highlighted, such as curvature amplitude, geological ages, structural parameters, etc. The hydrogeological conditions of the central-western part of the Republic of Moldova were generalized for the entire hydrogeological section, taking into account in particular the geochemistry of groundwater, which is characterized in detail with reference to the content of macroelements, rare microelements and gases. A special emphasis was placed on the geochemistry of rare industrial elements - iodine, bromine, boron, boron, lithium and strontium and from inert gases - helium; all these elements are in concentrations of hydromineral deposits and indicators of geological traps.</w:t>
            </w:r>
          </w:p>
          <w:p w14:paraId="58C631C7" w14:textId="1FFF916E" w:rsidR="000729AB" w:rsidRPr="00D86224" w:rsidRDefault="000729AB" w:rsidP="00EA3979">
            <w:pPr>
              <w:spacing w:after="0" w:line="240" w:lineRule="auto"/>
              <w:jc w:val="both"/>
              <w:rPr>
                <w:rFonts w:ascii="Times New Roman" w:hAnsi="Times New Roman"/>
                <w:sz w:val="24"/>
                <w:szCs w:val="24"/>
                <w:lang w:val="ro-RO"/>
              </w:rPr>
            </w:pPr>
            <w:r w:rsidRPr="00D86224">
              <w:rPr>
                <w:rFonts w:ascii="Times New Roman" w:hAnsi="Times New Roman"/>
                <w:sz w:val="24"/>
                <w:szCs w:val="24"/>
                <w:lang w:val="ro-RO"/>
              </w:rPr>
              <w:t>The results obtained were the basis of the geological argumentation of the location for the UGS. From the entire studied territory, the Ungheni sector was selected with dimensions of 30 km x 22 km = 660 km2. This sector is georeferenced in rectangular coordinates. Within the Ungheni sector, 3 prospective structures for the UGS are highlighted: Berești, Cetireni and Valea Cornova. These structures are proposed for detailed research as a UGS.</w:t>
            </w:r>
          </w:p>
        </w:tc>
      </w:tr>
    </w:tbl>
    <w:p w14:paraId="311E1E9C" w14:textId="72986F83" w:rsidR="000729AB" w:rsidRPr="00EA3979" w:rsidRDefault="000729AB" w:rsidP="00EA3979">
      <w:pPr>
        <w:jc w:val="center"/>
        <w:rPr>
          <w:lang w:val="ro-RO"/>
        </w:rPr>
      </w:pPr>
      <w:bookmarkStart w:id="1" w:name="_GoBack"/>
      <w:bookmarkEnd w:id="0"/>
      <w:bookmarkEnd w:id="1"/>
    </w:p>
    <w:sectPr w:rsidR="000729AB" w:rsidRPr="00EA3979" w:rsidSect="000729AB">
      <w:footerReference w:type="default" r:id="rId8"/>
      <w:pgSz w:w="11906" w:h="16838" w:code="9"/>
      <w:pgMar w:top="902" w:right="1043" w:bottom="902"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9B0C7" w14:textId="77777777" w:rsidR="00613FEE" w:rsidRDefault="00613FEE" w:rsidP="000729AB">
      <w:pPr>
        <w:spacing w:after="0" w:line="240" w:lineRule="auto"/>
      </w:pPr>
      <w:r>
        <w:separator/>
      </w:r>
    </w:p>
  </w:endnote>
  <w:endnote w:type="continuationSeparator" w:id="0">
    <w:p w14:paraId="4991E8E8" w14:textId="77777777" w:rsidR="00613FEE" w:rsidRDefault="00613FEE" w:rsidP="0007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at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EDB67" w14:textId="381D05A7" w:rsidR="000729AB" w:rsidRPr="000729AB" w:rsidRDefault="000729AB" w:rsidP="00EA3979">
    <w:pPr>
      <w:pStyle w:val="Footer"/>
      <w:jc w:val="center"/>
      <w:rPr>
        <w:rFonts w:asciiTheme="majorBidi" w:hAnsiTheme="majorBidi" w:cstheme="majorBidi"/>
        <w:sz w:val="20"/>
        <w:szCs w:val="20"/>
      </w:rPr>
    </w:pPr>
  </w:p>
  <w:p w14:paraId="408BF82F" w14:textId="77777777" w:rsidR="000729AB" w:rsidRDefault="000729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FDA83" w14:textId="77777777" w:rsidR="00613FEE" w:rsidRDefault="00613FEE" w:rsidP="000729AB">
      <w:pPr>
        <w:spacing w:after="0" w:line="240" w:lineRule="auto"/>
      </w:pPr>
      <w:r>
        <w:separator/>
      </w:r>
    </w:p>
  </w:footnote>
  <w:footnote w:type="continuationSeparator" w:id="0">
    <w:p w14:paraId="1ABCE558" w14:textId="77777777" w:rsidR="00613FEE" w:rsidRDefault="00613FEE" w:rsidP="00072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A7C"/>
    <w:multiLevelType w:val="hybridMultilevel"/>
    <w:tmpl w:val="DF3A3CE2"/>
    <w:lvl w:ilvl="0" w:tplc="2D6CF8EA">
      <w:start w:val="1"/>
      <w:numFmt w:val="decimal"/>
      <w:lvlText w:val="%1)"/>
      <w:lvlJc w:val="left"/>
      <w:pPr>
        <w:tabs>
          <w:tab w:val="num" w:pos="720"/>
        </w:tabs>
        <w:ind w:left="720" w:hanging="360"/>
      </w:pPr>
    </w:lvl>
    <w:lvl w:ilvl="1" w:tplc="B038F5DE" w:tentative="1">
      <w:start w:val="1"/>
      <w:numFmt w:val="decimal"/>
      <w:lvlText w:val="%2)"/>
      <w:lvlJc w:val="left"/>
      <w:pPr>
        <w:tabs>
          <w:tab w:val="num" w:pos="1440"/>
        </w:tabs>
        <w:ind w:left="1440" w:hanging="360"/>
      </w:pPr>
    </w:lvl>
    <w:lvl w:ilvl="2" w:tplc="D4FC4436" w:tentative="1">
      <w:start w:val="1"/>
      <w:numFmt w:val="decimal"/>
      <w:lvlText w:val="%3)"/>
      <w:lvlJc w:val="left"/>
      <w:pPr>
        <w:tabs>
          <w:tab w:val="num" w:pos="2160"/>
        </w:tabs>
        <w:ind w:left="2160" w:hanging="360"/>
      </w:pPr>
    </w:lvl>
    <w:lvl w:ilvl="3" w:tplc="54B89DF4" w:tentative="1">
      <w:start w:val="1"/>
      <w:numFmt w:val="decimal"/>
      <w:lvlText w:val="%4)"/>
      <w:lvlJc w:val="left"/>
      <w:pPr>
        <w:tabs>
          <w:tab w:val="num" w:pos="2880"/>
        </w:tabs>
        <w:ind w:left="2880" w:hanging="360"/>
      </w:pPr>
    </w:lvl>
    <w:lvl w:ilvl="4" w:tplc="17F43FE4" w:tentative="1">
      <w:start w:val="1"/>
      <w:numFmt w:val="decimal"/>
      <w:lvlText w:val="%5)"/>
      <w:lvlJc w:val="left"/>
      <w:pPr>
        <w:tabs>
          <w:tab w:val="num" w:pos="3600"/>
        </w:tabs>
        <w:ind w:left="3600" w:hanging="360"/>
      </w:pPr>
    </w:lvl>
    <w:lvl w:ilvl="5" w:tplc="654A5D9A" w:tentative="1">
      <w:start w:val="1"/>
      <w:numFmt w:val="decimal"/>
      <w:lvlText w:val="%6)"/>
      <w:lvlJc w:val="left"/>
      <w:pPr>
        <w:tabs>
          <w:tab w:val="num" w:pos="4320"/>
        </w:tabs>
        <w:ind w:left="4320" w:hanging="360"/>
      </w:pPr>
    </w:lvl>
    <w:lvl w:ilvl="6" w:tplc="666CC264" w:tentative="1">
      <w:start w:val="1"/>
      <w:numFmt w:val="decimal"/>
      <w:lvlText w:val="%7)"/>
      <w:lvlJc w:val="left"/>
      <w:pPr>
        <w:tabs>
          <w:tab w:val="num" w:pos="5040"/>
        </w:tabs>
        <w:ind w:left="5040" w:hanging="360"/>
      </w:pPr>
    </w:lvl>
    <w:lvl w:ilvl="7" w:tplc="16DE9546" w:tentative="1">
      <w:start w:val="1"/>
      <w:numFmt w:val="decimal"/>
      <w:lvlText w:val="%8)"/>
      <w:lvlJc w:val="left"/>
      <w:pPr>
        <w:tabs>
          <w:tab w:val="num" w:pos="5760"/>
        </w:tabs>
        <w:ind w:left="5760" w:hanging="360"/>
      </w:pPr>
    </w:lvl>
    <w:lvl w:ilvl="8" w:tplc="2BAEFED2" w:tentative="1">
      <w:start w:val="1"/>
      <w:numFmt w:val="decimal"/>
      <w:lvlText w:val="%9)"/>
      <w:lvlJc w:val="left"/>
      <w:pPr>
        <w:tabs>
          <w:tab w:val="num" w:pos="6480"/>
        </w:tabs>
        <w:ind w:left="6480" w:hanging="360"/>
      </w:pPr>
    </w:lvl>
  </w:abstractNum>
  <w:abstractNum w:abstractNumId="1" w15:restartNumberingAfterBreak="0">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56F7584"/>
    <w:multiLevelType w:val="hybridMultilevel"/>
    <w:tmpl w:val="341EB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4" w15:restartNumberingAfterBreak="0">
    <w:nsid w:val="24685C53"/>
    <w:multiLevelType w:val="hybridMultilevel"/>
    <w:tmpl w:val="9FD2D52A"/>
    <w:lvl w:ilvl="0" w:tplc="CB426074">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358A3"/>
    <w:multiLevelType w:val="hybridMultilevel"/>
    <w:tmpl w:val="4540375E"/>
    <w:lvl w:ilvl="0" w:tplc="6E08B54A">
      <w:start w:val="3"/>
      <w:numFmt w:val="decimal"/>
      <w:lvlText w:val="%1."/>
      <w:lvlJc w:val="left"/>
      <w:pPr>
        <w:tabs>
          <w:tab w:val="num" w:pos="720"/>
        </w:tabs>
        <w:ind w:left="720" w:hanging="360"/>
      </w:pPr>
    </w:lvl>
    <w:lvl w:ilvl="1" w:tplc="741A699E" w:tentative="1">
      <w:start w:val="1"/>
      <w:numFmt w:val="decimal"/>
      <w:lvlText w:val="%2."/>
      <w:lvlJc w:val="left"/>
      <w:pPr>
        <w:tabs>
          <w:tab w:val="num" w:pos="1440"/>
        </w:tabs>
        <w:ind w:left="1440" w:hanging="360"/>
      </w:pPr>
    </w:lvl>
    <w:lvl w:ilvl="2" w:tplc="299EDC4A" w:tentative="1">
      <w:start w:val="1"/>
      <w:numFmt w:val="decimal"/>
      <w:lvlText w:val="%3."/>
      <w:lvlJc w:val="left"/>
      <w:pPr>
        <w:tabs>
          <w:tab w:val="num" w:pos="2160"/>
        </w:tabs>
        <w:ind w:left="2160" w:hanging="360"/>
      </w:pPr>
    </w:lvl>
    <w:lvl w:ilvl="3" w:tplc="B95CA036" w:tentative="1">
      <w:start w:val="1"/>
      <w:numFmt w:val="decimal"/>
      <w:lvlText w:val="%4."/>
      <w:lvlJc w:val="left"/>
      <w:pPr>
        <w:tabs>
          <w:tab w:val="num" w:pos="2880"/>
        </w:tabs>
        <w:ind w:left="2880" w:hanging="360"/>
      </w:pPr>
    </w:lvl>
    <w:lvl w:ilvl="4" w:tplc="D8026292" w:tentative="1">
      <w:start w:val="1"/>
      <w:numFmt w:val="decimal"/>
      <w:lvlText w:val="%5."/>
      <w:lvlJc w:val="left"/>
      <w:pPr>
        <w:tabs>
          <w:tab w:val="num" w:pos="3600"/>
        </w:tabs>
        <w:ind w:left="3600" w:hanging="360"/>
      </w:pPr>
    </w:lvl>
    <w:lvl w:ilvl="5" w:tplc="FCEA3FCA" w:tentative="1">
      <w:start w:val="1"/>
      <w:numFmt w:val="decimal"/>
      <w:lvlText w:val="%6."/>
      <w:lvlJc w:val="left"/>
      <w:pPr>
        <w:tabs>
          <w:tab w:val="num" w:pos="4320"/>
        </w:tabs>
        <w:ind w:left="4320" w:hanging="360"/>
      </w:pPr>
    </w:lvl>
    <w:lvl w:ilvl="6" w:tplc="BD90D582" w:tentative="1">
      <w:start w:val="1"/>
      <w:numFmt w:val="decimal"/>
      <w:lvlText w:val="%7."/>
      <w:lvlJc w:val="left"/>
      <w:pPr>
        <w:tabs>
          <w:tab w:val="num" w:pos="5040"/>
        </w:tabs>
        <w:ind w:left="5040" w:hanging="360"/>
      </w:pPr>
    </w:lvl>
    <w:lvl w:ilvl="7" w:tplc="625A8D44" w:tentative="1">
      <w:start w:val="1"/>
      <w:numFmt w:val="decimal"/>
      <w:lvlText w:val="%8."/>
      <w:lvlJc w:val="left"/>
      <w:pPr>
        <w:tabs>
          <w:tab w:val="num" w:pos="5760"/>
        </w:tabs>
        <w:ind w:left="5760" w:hanging="360"/>
      </w:pPr>
    </w:lvl>
    <w:lvl w:ilvl="8" w:tplc="1624B8D2" w:tentative="1">
      <w:start w:val="1"/>
      <w:numFmt w:val="decimal"/>
      <w:lvlText w:val="%9."/>
      <w:lvlJc w:val="left"/>
      <w:pPr>
        <w:tabs>
          <w:tab w:val="num" w:pos="6480"/>
        </w:tabs>
        <w:ind w:left="6480" w:hanging="360"/>
      </w:pPr>
    </w:lvl>
  </w:abstractNum>
  <w:abstractNum w:abstractNumId="9" w15:restartNumberingAfterBreak="0">
    <w:nsid w:val="60351108"/>
    <w:multiLevelType w:val="hybridMultilevel"/>
    <w:tmpl w:val="742C1B5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61890702"/>
    <w:multiLevelType w:val="hybridMultilevel"/>
    <w:tmpl w:val="F8462BF0"/>
    <w:lvl w:ilvl="0" w:tplc="0C4C13B6">
      <w:start w:val="2"/>
      <w:numFmt w:val="decimal"/>
      <w:lvlText w:val="%1."/>
      <w:lvlJc w:val="left"/>
      <w:pPr>
        <w:tabs>
          <w:tab w:val="num" w:pos="720"/>
        </w:tabs>
        <w:ind w:left="720" w:hanging="360"/>
      </w:pPr>
    </w:lvl>
    <w:lvl w:ilvl="1" w:tplc="7EB45908" w:tentative="1">
      <w:start w:val="1"/>
      <w:numFmt w:val="decimal"/>
      <w:lvlText w:val="%2."/>
      <w:lvlJc w:val="left"/>
      <w:pPr>
        <w:tabs>
          <w:tab w:val="num" w:pos="1440"/>
        </w:tabs>
        <w:ind w:left="1440" w:hanging="360"/>
      </w:pPr>
    </w:lvl>
    <w:lvl w:ilvl="2" w:tplc="E9E4803C" w:tentative="1">
      <w:start w:val="1"/>
      <w:numFmt w:val="decimal"/>
      <w:lvlText w:val="%3."/>
      <w:lvlJc w:val="left"/>
      <w:pPr>
        <w:tabs>
          <w:tab w:val="num" w:pos="2160"/>
        </w:tabs>
        <w:ind w:left="2160" w:hanging="360"/>
      </w:pPr>
    </w:lvl>
    <w:lvl w:ilvl="3" w:tplc="FC747C6E" w:tentative="1">
      <w:start w:val="1"/>
      <w:numFmt w:val="decimal"/>
      <w:lvlText w:val="%4."/>
      <w:lvlJc w:val="left"/>
      <w:pPr>
        <w:tabs>
          <w:tab w:val="num" w:pos="2880"/>
        </w:tabs>
        <w:ind w:left="2880" w:hanging="360"/>
      </w:pPr>
    </w:lvl>
    <w:lvl w:ilvl="4" w:tplc="FC3C23FC" w:tentative="1">
      <w:start w:val="1"/>
      <w:numFmt w:val="decimal"/>
      <w:lvlText w:val="%5."/>
      <w:lvlJc w:val="left"/>
      <w:pPr>
        <w:tabs>
          <w:tab w:val="num" w:pos="3600"/>
        </w:tabs>
        <w:ind w:left="3600" w:hanging="360"/>
      </w:pPr>
    </w:lvl>
    <w:lvl w:ilvl="5" w:tplc="F4F84F08" w:tentative="1">
      <w:start w:val="1"/>
      <w:numFmt w:val="decimal"/>
      <w:lvlText w:val="%6."/>
      <w:lvlJc w:val="left"/>
      <w:pPr>
        <w:tabs>
          <w:tab w:val="num" w:pos="4320"/>
        </w:tabs>
        <w:ind w:left="4320" w:hanging="360"/>
      </w:pPr>
    </w:lvl>
    <w:lvl w:ilvl="6" w:tplc="4A109C14" w:tentative="1">
      <w:start w:val="1"/>
      <w:numFmt w:val="decimal"/>
      <w:lvlText w:val="%7."/>
      <w:lvlJc w:val="left"/>
      <w:pPr>
        <w:tabs>
          <w:tab w:val="num" w:pos="5040"/>
        </w:tabs>
        <w:ind w:left="5040" w:hanging="360"/>
      </w:pPr>
    </w:lvl>
    <w:lvl w:ilvl="7" w:tplc="3CCCE99A" w:tentative="1">
      <w:start w:val="1"/>
      <w:numFmt w:val="decimal"/>
      <w:lvlText w:val="%8."/>
      <w:lvlJc w:val="left"/>
      <w:pPr>
        <w:tabs>
          <w:tab w:val="num" w:pos="5760"/>
        </w:tabs>
        <w:ind w:left="5760" w:hanging="360"/>
      </w:pPr>
    </w:lvl>
    <w:lvl w:ilvl="8" w:tplc="44DE75F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6"/>
  </w:num>
  <w:num w:numId="5">
    <w:abstractNumId w:val="9"/>
  </w:num>
  <w:num w:numId="6">
    <w:abstractNumId w:val="10"/>
  </w:num>
  <w:num w:numId="7">
    <w:abstractNumId w:val="8"/>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76"/>
    <w:rsid w:val="00000704"/>
    <w:rsid w:val="000100CD"/>
    <w:rsid w:val="000373C1"/>
    <w:rsid w:val="00037F28"/>
    <w:rsid w:val="000418E8"/>
    <w:rsid w:val="00055A35"/>
    <w:rsid w:val="000729AB"/>
    <w:rsid w:val="00074C69"/>
    <w:rsid w:val="000C0C60"/>
    <w:rsid w:val="000F1E87"/>
    <w:rsid w:val="00126692"/>
    <w:rsid w:val="001379E6"/>
    <w:rsid w:val="00164375"/>
    <w:rsid w:val="00182518"/>
    <w:rsid w:val="00197FCA"/>
    <w:rsid w:val="001A3786"/>
    <w:rsid w:val="001A4B3D"/>
    <w:rsid w:val="001B4D3B"/>
    <w:rsid w:val="001C636F"/>
    <w:rsid w:val="002034FC"/>
    <w:rsid w:val="002151F5"/>
    <w:rsid w:val="00266176"/>
    <w:rsid w:val="0027525C"/>
    <w:rsid w:val="00282F4B"/>
    <w:rsid w:val="00284862"/>
    <w:rsid w:val="002C3939"/>
    <w:rsid w:val="002C5461"/>
    <w:rsid w:val="00335D5C"/>
    <w:rsid w:val="0034073A"/>
    <w:rsid w:val="00353DE5"/>
    <w:rsid w:val="003B231E"/>
    <w:rsid w:val="003C1C31"/>
    <w:rsid w:val="003C583A"/>
    <w:rsid w:val="003D0C54"/>
    <w:rsid w:val="003D67D4"/>
    <w:rsid w:val="003F586C"/>
    <w:rsid w:val="00480249"/>
    <w:rsid w:val="004B4B2E"/>
    <w:rsid w:val="004D2E48"/>
    <w:rsid w:val="004F1B85"/>
    <w:rsid w:val="00505092"/>
    <w:rsid w:val="00520CAA"/>
    <w:rsid w:val="00523B46"/>
    <w:rsid w:val="00526213"/>
    <w:rsid w:val="005413BE"/>
    <w:rsid w:val="00546EC4"/>
    <w:rsid w:val="00556CEA"/>
    <w:rsid w:val="00560502"/>
    <w:rsid w:val="00566E08"/>
    <w:rsid w:val="00567E5D"/>
    <w:rsid w:val="005C306C"/>
    <w:rsid w:val="005C5A81"/>
    <w:rsid w:val="005D2DA4"/>
    <w:rsid w:val="005E000E"/>
    <w:rsid w:val="005E6D05"/>
    <w:rsid w:val="00613FEE"/>
    <w:rsid w:val="00621297"/>
    <w:rsid w:val="006653E1"/>
    <w:rsid w:val="00667BCA"/>
    <w:rsid w:val="00696731"/>
    <w:rsid w:val="006B057E"/>
    <w:rsid w:val="006F34AA"/>
    <w:rsid w:val="006F6792"/>
    <w:rsid w:val="0070447B"/>
    <w:rsid w:val="00704B7C"/>
    <w:rsid w:val="00712302"/>
    <w:rsid w:val="007430B0"/>
    <w:rsid w:val="007439A0"/>
    <w:rsid w:val="00745CC1"/>
    <w:rsid w:val="007C09B8"/>
    <w:rsid w:val="007D27FF"/>
    <w:rsid w:val="008023DA"/>
    <w:rsid w:val="00802B77"/>
    <w:rsid w:val="00830F4D"/>
    <w:rsid w:val="00831937"/>
    <w:rsid w:val="00845AA2"/>
    <w:rsid w:val="00846B16"/>
    <w:rsid w:val="00853786"/>
    <w:rsid w:val="00855C41"/>
    <w:rsid w:val="00856A78"/>
    <w:rsid w:val="00872B8E"/>
    <w:rsid w:val="00877D4D"/>
    <w:rsid w:val="008A35B1"/>
    <w:rsid w:val="008B3D52"/>
    <w:rsid w:val="008C2D3B"/>
    <w:rsid w:val="008E7359"/>
    <w:rsid w:val="009604DD"/>
    <w:rsid w:val="00967A25"/>
    <w:rsid w:val="00976B47"/>
    <w:rsid w:val="009954E4"/>
    <w:rsid w:val="009C2F6F"/>
    <w:rsid w:val="009D2F1D"/>
    <w:rsid w:val="009D356E"/>
    <w:rsid w:val="009F4816"/>
    <w:rsid w:val="00A21F0C"/>
    <w:rsid w:val="00A261FE"/>
    <w:rsid w:val="00A62073"/>
    <w:rsid w:val="00A644ED"/>
    <w:rsid w:val="00A70560"/>
    <w:rsid w:val="00AA2839"/>
    <w:rsid w:val="00AF0789"/>
    <w:rsid w:val="00B05A01"/>
    <w:rsid w:val="00B313D3"/>
    <w:rsid w:val="00B34CFD"/>
    <w:rsid w:val="00B47395"/>
    <w:rsid w:val="00B9050D"/>
    <w:rsid w:val="00B97D63"/>
    <w:rsid w:val="00BD6457"/>
    <w:rsid w:val="00C0687B"/>
    <w:rsid w:val="00C41A64"/>
    <w:rsid w:val="00C477E9"/>
    <w:rsid w:val="00C967B7"/>
    <w:rsid w:val="00CF7F29"/>
    <w:rsid w:val="00D04CBB"/>
    <w:rsid w:val="00D06DDD"/>
    <w:rsid w:val="00D1648A"/>
    <w:rsid w:val="00D20BF3"/>
    <w:rsid w:val="00D253F5"/>
    <w:rsid w:val="00D35282"/>
    <w:rsid w:val="00D37BBB"/>
    <w:rsid w:val="00D55754"/>
    <w:rsid w:val="00D566A6"/>
    <w:rsid w:val="00D8219C"/>
    <w:rsid w:val="00D86224"/>
    <w:rsid w:val="00D873CB"/>
    <w:rsid w:val="00D93DD8"/>
    <w:rsid w:val="00D974B1"/>
    <w:rsid w:val="00DC2B25"/>
    <w:rsid w:val="00E03A53"/>
    <w:rsid w:val="00E06118"/>
    <w:rsid w:val="00E10A79"/>
    <w:rsid w:val="00E12BA3"/>
    <w:rsid w:val="00E13DDB"/>
    <w:rsid w:val="00E40E15"/>
    <w:rsid w:val="00E76961"/>
    <w:rsid w:val="00E97D76"/>
    <w:rsid w:val="00EA3979"/>
    <w:rsid w:val="00EC6A14"/>
    <w:rsid w:val="00ED74E3"/>
    <w:rsid w:val="00ED7E7B"/>
    <w:rsid w:val="00F00961"/>
    <w:rsid w:val="00F25249"/>
    <w:rsid w:val="00F36017"/>
    <w:rsid w:val="00F41F91"/>
    <w:rsid w:val="00F556D7"/>
    <w:rsid w:val="00F6141C"/>
    <w:rsid w:val="00F77028"/>
    <w:rsid w:val="00F949EE"/>
    <w:rsid w:val="00F95DB4"/>
    <w:rsid w:val="00FD1DA2"/>
    <w:rsid w:val="00FF45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EED8"/>
  <w15:chartTrackingRefBased/>
  <w15:docId w15:val="{E463CEB4-1AA5-4CC0-9647-62C33371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D7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34"/>
    <w:qFormat/>
    <w:rsid w:val="00E97D76"/>
    <w:pPr>
      <w:spacing w:line="254" w:lineRule="auto"/>
      <w:ind w:left="720"/>
      <w:contextualSpacing/>
    </w:pPr>
    <w:rPr>
      <w:lang w:val="x-none"/>
    </w:rPr>
  </w:style>
  <w:style w:type="paragraph" w:styleId="NoSpacing">
    <w:name w:val="No Spacing"/>
    <w:link w:val="NoSpacingChar"/>
    <w:uiPriority w:val="1"/>
    <w:qFormat/>
    <w:rsid w:val="00E97D76"/>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34"/>
    <w:qFormat/>
    <w:locked/>
    <w:rsid w:val="00E97D76"/>
    <w:rPr>
      <w:rFonts w:ascii="Calibri" w:eastAsia="Calibri" w:hAnsi="Calibri" w:cs="Times New Roman"/>
      <w:lang w:val="x-none"/>
    </w:rPr>
  </w:style>
  <w:style w:type="character" w:customStyle="1" w:styleId="NoSpacingChar">
    <w:name w:val="No Spacing Char"/>
    <w:link w:val="NoSpacing"/>
    <w:uiPriority w:val="1"/>
    <w:locked/>
    <w:rsid w:val="00E97D76"/>
    <w:rPr>
      <w:rFonts w:ascii="Microsoft Sans Serif" w:eastAsia="Microsoft Sans Serif" w:hAnsi="Microsoft Sans Serif" w:cs="Microsoft Sans Serif"/>
      <w:color w:val="000000"/>
      <w:sz w:val="24"/>
      <w:szCs w:val="24"/>
      <w:lang w:val="ro-RO" w:eastAsia="ro-RO" w:bidi="ro-RO"/>
    </w:rPr>
  </w:style>
  <w:style w:type="character" w:styleId="Hyperlink">
    <w:name w:val="Hyperlink"/>
    <w:basedOn w:val="DefaultParagraphFont"/>
    <w:uiPriority w:val="99"/>
    <w:unhideWhenUsed/>
    <w:rsid w:val="00556CEA"/>
    <w:rPr>
      <w:color w:val="0563C1" w:themeColor="hyperlink"/>
      <w:u w:val="single"/>
    </w:rPr>
  </w:style>
  <w:style w:type="paragraph" w:customStyle="1" w:styleId="TableParagraph">
    <w:name w:val="Table Paragraph"/>
    <w:basedOn w:val="Normal"/>
    <w:uiPriority w:val="1"/>
    <w:qFormat/>
    <w:rsid w:val="00335D5C"/>
    <w:pPr>
      <w:widowControl w:val="0"/>
      <w:autoSpaceDE w:val="0"/>
      <w:autoSpaceDN w:val="0"/>
      <w:spacing w:after="0" w:line="240" w:lineRule="auto"/>
    </w:pPr>
    <w:rPr>
      <w:rFonts w:ascii="Times New Roman" w:eastAsia="Times New Roman" w:hAnsi="Times New Roman"/>
      <w:lang w:val="ro-RO"/>
    </w:rPr>
  </w:style>
  <w:style w:type="character" w:customStyle="1" w:styleId="platform">
    <w:name w:val="platform"/>
    <w:basedOn w:val="DefaultParagraphFont"/>
    <w:rsid w:val="00853786"/>
  </w:style>
  <w:style w:type="paragraph" w:styleId="BalloonText">
    <w:name w:val="Balloon Text"/>
    <w:basedOn w:val="Normal"/>
    <w:link w:val="BalloonTextChar"/>
    <w:uiPriority w:val="99"/>
    <w:semiHidden/>
    <w:unhideWhenUsed/>
    <w:rsid w:val="00B9050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9050D"/>
    <w:rPr>
      <w:rFonts w:ascii="Segoe UI" w:hAnsi="Segoe UI" w:cs="Segoe UI"/>
      <w:sz w:val="18"/>
      <w:szCs w:val="18"/>
      <w:lang w:val="en-US"/>
    </w:rPr>
  </w:style>
  <w:style w:type="table" w:customStyle="1" w:styleId="Tabelgril1">
    <w:name w:val="Tabel grilă1"/>
    <w:basedOn w:val="TableNormal"/>
    <w:next w:val="TableGrid"/>
    <w:uiPriority w:val="39"/>
    <w:rsid w:val="000418E8"/>
    <w:pPr>
      <w:spacing w:after="0" w:line="240" w:lineRule="auto"/>
    </w:pPr>
    <w:rPr>
      <w:rFonts w:ascii="Calibri" w:eastAsia="Calibri" w:hAnsi="Calibri" w:cs="Arial"/>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9AB"/>
    <w:pPr>
      <w:tabs>
        <w:tab w:val="center" w:pos="4844"/>
        <w:tab w:val="right" w:pos="9689"/>
      </w:tabs>
      <w:spacing w:after="0" w:line="240" w:lineRule="auto"/>
    </w:pPr>
  </w:style>
  <w:style w:type="character" w:customStyle="1" w:styleId="HeaderChar">
    <w:name w:val="Header Char"/>
    <w:basedOn w:val="DefaultParagraphFont"/>
    <w:link w:val="Header"/>
    <w:uiPriority w:val="99"/>
    <w:rsid w:val="000729AB"/>
    <w:rPr>
      <w:rFonts w:ascii="Calibri" w:eastAsia="Calibri" w:hAnsi="Calibri" w:cs="Times New Roman"/>
      <w:lang w:val="en-US"/>
    </w:rPr>
  </w:style>
  <w:style w:type="paragraph" w:styleId="Footer">
    <w:name w:val="footer"/>
    <w:basedOn w:val="Normal"/>
    <w:link w:val="FooterChar"/>
    <w:uiPriority w:val="99"/>
    <w:unhideWhenUsed/>
    <w:rsid w:val="000729AB"/>
    <w:pPr>
      <w:tabs>
        <w:tab w:val="center" w:pos="4844"/>
        <w:tab w:val="right" w:pos="9689"/>
      </w:tabs>
      <w:spacing w:after="0" w:line="240" w:lineRule="auto"/>
    </w:pPr>
  </w:style>
  <w:style w:type="character" w:customStyle="1" w:styleId="FooterChar">
    <w:name w:val="Footer Char"/>
    <w:basedOn w:val="DefaultParagraphFont"/>
    <w:link w:val="Footer"/>
    <w:uiPriority w:val="99"/>
    <w:rsid w:val="000729A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358">
      <w:bodyDiv w:val="1"/>
      <w:marLeft w:val="0"/>
      <w:marRight w:val="0"/>
      <w:marTop w:val="0"/>
      <w:marBottom w:val="0"/>
      <w:divBdr>
        <w:top w:val="none" w:sz="0" w:space="0" w:color="auto"/>
        <w:left w:val="none" w:sz="0" w:space="0" w:color="auto"/>
        <w:bottom w:val="none" w:sz="0" w:space="0" w:color="auto"/>
        <w:right w:val="none" w:sz="0" w:space="0" w:color="auto"/>
      </w:divBdr>
      <w:divsChild>
        <w:div w:id="1943758097">
          <w:marLeft w:val="547"/>
          <w:marRight w:val="0"/>
          <w:marTop w:val="0"/>
          <w:marBottom w:val="0"/>
          <w:divBdr>
            <w:top w:val="none" w:sz="0" w:space="0" w:color="auto"/>
            <w:left w:val="none" w:sz="0" w:space="0" w:color="auto"/>
            <w:bottom w:val="none" w:sz="0" w:space="0" w:color="auto"/>
            <w:right w:val="none" w:sz="0" w:space="0" w:color="auto"/>
          </w:divBdr>
        </w:div>
        <w:div w:id="970595730">
          <w:marLeft w:val="547"/>
          <w:marRight w:val="0"/>
          <w:marTop w:val="0"/>
          <w:marBottom w:val="0"/>
          <w:divBdr>
            <w:top w:val="none" w:sz="0" w:space="0" w:color="auto"/>
            <w:left w:val="none" w:sz="0" w:space="0" w:color="auto"/>
            <w:bottom w:val="none" w:sz="0" w:space="0" w:color="auto"/>
            <w:right w:val="none" w:sz="0" w:space="0" w:color="auto"/>
          </w:divBdr>
        </w:div>
      </w:divsChild>
    </w:div>
    <w:div w:id="262686436">
      <w:bodyDiv w:val="1"/>
      <w:marLeft w:val="0"/>
      <w:marRight w:val="0"/>
      <w:marTop w:val="0"/>
      <w:marBottom w:val="0"/>
      <w:divBdr>
        <w:top w:val="none" w:sz="0" w:space="0" w:color="auto"/>
        <w:left w:val="none" w:sz="0" w:space="0" w:color="auto"/>
        <w:bottom w:val="none" w:sz="0" w:space="0" w:color="auto"/>
        <w:right w:val="none" w:sz="0" w:space="0" w:color="auto"/>
      </w:divBdr>
    </w:div>
    <w:div w:id="790976173">
      <w:bodyDiv w:val="1"/>
      <w:marLeft w:val="0"/>
      <w:marRight w:val="0"/>
      <w:marTop w:val="0"/>
      <w:marBottom w:val="0"/>
      <w:divBdr>
        <w:top w:val="none" w:sz="0" w:space="0" w:color="auto"/>
        <w:left w:val="none" w:sz="0" w:space="0" w:color="auto"/>
        <w:bottom w:val="none" w:sz="0" w:space="0" w:color="auto"/>
        <w:right w:val="none" w:sz="0" w:space="0" w:color="auto"/>
      </w:divBdr>
    </w:div>
    <w:div w:id="977414759">
      <w:bodyDiv w:val="1"/>
      <w:marLeft w:val="0"/>
      <w:marRight w:val="0"/>
      <w:marTop w:val="0"/>
      <w:marBottom w:val="0"/>
      <w:divBdr>
        <w:top w:val="none" w:sz="0" w:space="0" w:color="auto"/>
        <w:left w:val="none" w:sz="0" w:space="0" w:color="auto"/>
        <w:bottom w:val="none" w:sz="0" w:space="0" w:color="auto"/>
        <w:right w:val="none" w:sz="0" w:space="0" w:color="auto"/>
      </w:divBdr>
    </w:div>
    <w:div w:id="1815945133">
      <w:bodyDiv w:val="1"/>
      <w:marLeft w:val="0"/>
      <w:marRight w:val="0"/>
      <w:marTop w:val="0"/>
      <w:marBottom w:val="0"/>
      <w:divBdr>
        <w:top w:val="none" w:sz="0" w:space="0" w:color="auto"/>
        <w:left w:val="none" w:sz="0" w:space="0" w:color="auto"/>
        <w:bottom w:val="none" w:sz="0" w:space="0" w:color="auto"/>
        <w:right w:val="none" w:sz="0" w:space="0" w:color="auto"/>
      </w:divBdr>
      <w:divsChild>
        <w:div w:id="528228024">
          <w:marLeft w:val="547"/>
          <w:marRight w:val="0"/>
          <w:marTop w:val="0"/>
          <w:marBottom w:val="0"/>
          <w:divBdr>
            <w:top w:val="none" w:sz="0" w:space="0" w:color="auto"/>
            <w:left w:val="none" w:sz="0" w:space="0" w:color="auto"/>
            <w:bottom w:val="none" w:sz="0" w:space="0" w:color="auto"/>
            <w:right w:val="none" w:sz="0" w:space="0" w:color="auto"/>
          </w:divBdr>
        </w:div>
        <w:div w:id="2091927071">
          <w:marLeft w:val="547"/>
          <w:marRight w:val="0"/>
          <w:marTop w:val="0"/>
          <w:marBottom w:val="0"/>
          <w:divBdr>
            <w:top w:val="none" w:sz="0" w:space="0" w:color="auto"/>
            <w:left w:val="none" w:sz="0" w:space="0" w:color="auto"/>
            <w:bottom w:val="none" w:sz="0" w:space="0" w:color="auto"/>
            <w:right w:val="none" w:sz="0" w:space="0" w:color="auto"/>
          </w:divBdr>
        </w:div>
        <w:div w:id="1288852229">
          <w:marLeft w:val="547"/>
          <w:marRight w:val="0"/>
          <w:marTop w:val="0"/>
          <w:marBottom w:val="0"/>
          <w:divBdr>
            <w:top w:val="none" w:sz="0" w:space="0" w:color="auto"/>
            <w:left w:val="none" w:sz="0" w:space="0" w:color="auto"/>
            <w:bottom w:val="none" w:sz="0" w:space="0" w:color="auto"/>
            <w:right w:val="none" w:sz="0" w:space="0" w:color="auto"/>
          </w:divBdr>
        </w:div>
        <w:div w:id="1425763418">
          <w:marLeft w:val="547"/>
          <w:marRight w:val="0"/>
          <w:marTop w:val="0"/>
          <w:marBottom w:val="0"/>
          <w:divBdr>
            <w:top w:val="none" w:sz="0" w:space="0" w:color="auto"/>
            <w:left w:val="none" w:sz="0" w:space="0" w:color="auto"/>
            <w:bottom w:val="none" w:sz="0" w:space="0" w:color="auto"/>
            <w:right w:val="none" w:sz="0" w:space="0" w:color="auto"/>
          </w:divBdr>
        </w:div>
      </w:divsChild>
    </w:div>
    <w:div w:id="18828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8025-F499-4A84-AC4B-85D390C4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Carolina</cp:lastModifiedBy>
  <cp:revision>3</cp:revision>
  <cp:lastPrinted>2025-01-30T20:30:00Z</cp:lastPrinted>
  <dcterms:created xsi:type="dcterms:W3CDTF">2025-01-30T20:30:00Z</dcterms:created>
  <dcterms:modified xsi:type="dcterms:W3CDTF">2025-01-30T20:31:00Z</dcterms:modified>
</cp:coreProperties>
</file>