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E5" w:rsidRPr="00D641E5" w:rsidRDefault="00D641E5" w:rsidP="00D641E5">
      <w:pPr>
        <w:rPr>
          <w:rFonts w:ascii="Times New Roman" w:hAnsi="Times New Roman" w:cs="Times New Roman"/>
          <w:sz w:val="24"/>
          <w:szCs w:val="24"/>
          <w:lang w:val="ro-MD"/>
        </w:rPr>
      </w:pPr>
      <w:r w:rsidRPr="00D641E5">
        <w:rPr>
          <w:rFonts w:ascii="Times New Roman" w:hAnsi="Times New Roman" w:cs="Times New Roman"/>
          <w:sz w:val="24"/>
          <w:szCs w:val="24"/>
          <w:lang w:val="ro-MD"/>
        </w:rPr>
        <w:t>Rezumat</w:t>
      </w:r>
    </w:p>
    <w:p w:rsidR="00D641E5" w:rsidRPr="00D641E5" w:rsidRDefault="00D641E5" w:rsidP="00D641E5">
      <w:pPr>
        <w:keepNext/>
        <w:numPr>
          <w:ilvl w:val="0"/>
          <w:numId w:val="1"/>
        </w:numPr>
        <w:spacing w:after="0" w:line="276" w:lineRule="auto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</w:pPr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Cercetările din domeniul redat mai sus sunt de perspectivă, prezintă interes atât național cât și internațional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avînd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tangențe cu valorificarea unor noi surse naturale (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cianobacterii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inclusiv autohtone) de substanțe bioactive cu efect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antimicrobian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antifungic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antioxidant,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atidiabetic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antimieloma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.</w:t>
      </w:r>
    </w:p>
    <w:p w:rsidR="00D641E5" w:rsidRPr="00D641E5" w:rsidRDefault="00D641E5" w:rsidP="00D641E5">
      <w:pPr>
        <w:keepNext/>
        <w:numPr>
          <w:ilvl w:val="0"/>
          <w:numId w:val="1"/>
        </w:numPr>
        <w:spacing w:after="0" w:line="276" w:lineRule="auto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</w:pPr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A fost stabilit că procesul de dezvoltare a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cinobacteriilor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și de sinteză a substanțelor bioactive (în special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ficobiliproteine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) poate fi intensificat prin suplimentarea mediilor nutritive cu diferiți compuși chimici precum și prin varierea regimului de iluminare. A fost determinată activitatea antioxidantă(% de inhibiție) a extractelor apoase și alcoolice obținute din biomasa de S. platensis, C.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marchica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și .N.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halophylum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 și a fost stabilit  că toate extractele analizate manifestă activitate antioxidantă în limitele valorice 17-36,6% de inhibiție. </w:t>
      </w:r>
    </w:p>
    <w:p w:rsidR="00D641E5" w:rsidRPr="00D641E5" w:rsidRDefault="00D641E5" w:rsidP="00D641E5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Extractele testate manifestă activitatea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Aceasta indică potențialul sporit de aplicare în medicină oncologică. Necesar de menționat, că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tulpinele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din care au fost obținute extractele sunt autohtone. Aceasta determină posibilitatea fundamentală de dezvoltarea preparatelor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antimielomice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autohtone moderne în Republica Moldova.</w:t>
      </w:r>
    </w:p>
    <w:p w:rsidR="00D641E5" w:rsidRPr="00D641E5" w:rsidRDefault="00D641E5" w:rsidP="00D641E5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Mare interes prezintă cercetările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viitotare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în acest domeniu, anume dezvoltarea produselor farmaceutice în baza acestor extracte și cercetările ulterioare a efectelor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mai profunde. În comparare cu extractele din </w:t>
      </w:r>
      <w:proofErr w:type="spellStart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>Nostoc</w:t>
      </w:r>
      <w:proofErr w:type="spellEnd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>halophilum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și </w:t>
      </w:r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>Spirulina platensis</w:t>
      </w: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extarctul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din </w:t>
      </w:r>
      <w:proofErr w:type="spellStart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>Calothrix</w:t>
      </w:r>
      <w:proofErr w:type="spellEnd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>marchica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manifestă activitatea mai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scazută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. Cea mai mică viabilitate celulelor NCI H929 este observată la concentrația de 1000 µg/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, cum și pentru U266. Pentru celulele RPMI 8226 a fost determinat diapazon de cea mai bună activitate 900-1000 µg/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</w:t>
      </w:r>
    </w:p>
    <w:p w:rsidR="00D641E5" w:rsidRPr="00D641E5" w:rsidRDefault="00D641E5" w:rsidP="00D641E5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Conform rezultatelor utilizării extractelor ca supliment nutritiv putem evidenția că extractele cercetate au avut un efect benefic asupra diabetului zaharat. După cum vedem în loturile mixte, în deosebi în lotul </w:t>
      </w:r>
      <w:proofErr w:type="spellStart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>Calothrix</w:t>
      </w:r>
      <w:proofErr w:type="spellEnd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color w:val="000000"/>
          <w:kern w:val="32"/>
          <w:sz w:val="24"/>
          <w:szCs w:val="24"/>
          <w:lang w:val="ro-RO"/>
        </w:rPr>
        <w:t>marchica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+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se evidențiază o micșorare a concentrației de T</w:t>
      </w: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vertAlign w:val="subscript"/>
          <w:lang w:val="ro-RO"/>
        </w:rPr>
        <w:t xml:space="preserve">4 </w:t>
      </w: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până la 30,23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/l de la 34,47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/l în lotul cu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, iar concentrația de T</w:t>
      </w: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vertAlign w:val="subscript"/>
          <w:lang w:val="ro-RO"/>
        </w:rPr>
        <w:t>3</w:t>
      </w: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s-a mărit de la 2,04 la lotul cu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la 3,22 în lotul mixt, comparativ cu lotul martor unde nivelul de tiroxină este de 27,69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/l și de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triiodotiroină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– 3,71.</w:t>
      </w:r>
    </w:p>
    <w:p w:rsidR="00D641E5" w:rsidRPr="00D641E5" w:rsidRDefault="00D641E5" w:rsidP="00D641E5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Afirmăm că anume sursele de pigmenți din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cianobacteriile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cercetate au avut un efect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hormonotrop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antibacterian,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antifungic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și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sanogen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</w:t>
      </w:r>
    </w:p>
    <w:p w:rsidR="00D641E5" w:rsidRPr="00D641E5" w:rsidRDefault="00D641E5" w:rsidP="00D641E5">
      <w:pPr>
        <w:keepNext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 fost demonstrat efectul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bactercid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și fungicid al extractelor cianobacteriene autohtone</w:t>
      </w:r>
    </w:p>
    <w:p w:rsidR="00D641E5" w:rsidRPr="00D641E5" w:rsidRDefault="00D641E5" w:rsidP="00D641E5">
      <w:pPr>
        <w:keepNext/>
        <w:numPr>
          <w:ilvl w:val="0"/>
          <w:numId w:val="1"/>
        </w:numPr>
        <w:spacing w:after="0" w:line="276" w:lineRule="auto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În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baza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rezultatelor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obținute au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fost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elaborate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două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procedee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de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purificare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a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ficoeritrinei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și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ficocianinei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, care au effect anticancer,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antibacterian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antifungic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 xml:space="preserve"> și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</w:rPr>
        <w:t>sanogen</w:t>
      </w:r>
      <w:proofErr w:type="spellEnd"/>
    </w:p>
    <w:p w:rsidR="00D641E5" w:rsidRPr="00D641E5" w:rsidRDefault="00D641E5" w:rsidP="00D641E5">
      <w:pPr>
        <w:keepNext/>
        <w:spacing w:after="0" w:line="276" w:lineRule="auto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</w:pPr>
    </w:p>
    <w:p w:rsidR="00D641E5" w:rsidRPr="00D641E5" w:rsidRDefault="00D641E5" w:rsidP="00D641E5">
      <w:pPr>
        <w:keepNext/>
        <w:numPr>
          <w:ilvl w:val="0"/>
          <w:numId w:val="2"/>
        </w:numPr>
        <w:spacing w:after="0" w:line="276" w:lineRule="auto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</w:pPr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The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research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in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above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field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is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very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important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from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both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national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international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interest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having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tangents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with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exploitation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new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natural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sources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(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cyanobacteria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including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local) of bioactive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substances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with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antimicrobial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antifungal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antioxidant,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antimyeloma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efects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.</w:t>
      </w:r>
    </w:p>
    <w:p w:rsidR="00D641E5" w:rsidRPr="00D641E5" w:rsidRDefault="00D641E5" w:rsidP="00D641E5">
      <w:pPr>
        <w:keepNext/>
        <w:numPr>
          <w:ilvl w:val="0"/>
          <w:numId w:val="2"/>
        </w:numPr>
        <w:spacing w:after="0" w:line="276" w:lineRule="auto"/>
        <w:outlineLvl w:val="0"/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</w:pPr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It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was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established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that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process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grown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cynobacteria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synthesis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of bioactive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substances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(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especially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phycobiliproteins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)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can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be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intensified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by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supplementing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nutrient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media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with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different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chemical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compound, as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well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as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by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varying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lighting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regime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. The antioxidant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activity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(%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inhibition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) of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aqueous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alcoholic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obtained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from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lastRenderedPageBreak/>
        <w:t>biomass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of S. platensis, C.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marchica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N.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halophylum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was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determined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it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was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established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that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all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analyzed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have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antioxidant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activity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within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value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limits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 xml:space="preserve"> of 17-36.6% </w:t>
      </w:r>
      <w:proofErr w:type="spellStart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inhibition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.</w:t>
      </w:r>
    </w:p>
    <w:p w:rsidR="00D641E5" w:rsidRPr="00D641E5" w:rsidRDefault="00D641E5" w:rsidP="00D641E5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tested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show anti-cancer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activity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This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indicates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increased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potential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for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application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oncological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medicine.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Necessary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mention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that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strains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which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were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obtained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are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indigenous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This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determines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fundamental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possibility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development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modern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autochthonous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antimyeloma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preparations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Republic of Moldova.</w:t>
      </w:r>
    </w:p>
    <w:p w:rsidR="00D641E5" w:rsidRPr="00D641E5" w:rsidRDefault="00D641E5" w:rsidP="00D641E5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Future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research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this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field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great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interest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i.e.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development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pharmaceutical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products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based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these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further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research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into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deeper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effects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Compared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Nostoc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halophilum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Spirulina platensis,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extract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Calothrix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marchica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shows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lower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activity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The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lowest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viability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NCI H929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cells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observed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at 1000 µg/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concentration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as for U266. For RPMI 8226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cells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best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activity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diapason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900-1000 µg/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was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determined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</w:t>
      </w:r>
    </w:p>
    <w:p w:rsidR="00D641E5" w:rsidRPr="00D641E5" w:rsidRDefault="00D641E5" w:rsidP="00D641E5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According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results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use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as a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nutritional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supplement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highlight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that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investigated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had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beneficial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effect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diabetes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As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see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mixed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groups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especially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Calothrix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marchica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+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there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decrease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concentration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T4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30.23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/l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34.47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/l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with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concentration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T3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increased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from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2.04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with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Alloxan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3.22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mixed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compared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to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control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group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where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level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thyroxine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27.69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nmol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/l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triiodothyrosine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- 3.71.</w:t>
      </w:r>
    </w:p>
    <w:p w:rsidR="00D641E5" w:rsidRPr="00D641E5" w:rsidRDefault="00D641E5" w:rsidP="00D641E5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claim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that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specific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sources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pigments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in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cyanobacteria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investigated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had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a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hormonotropic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antibacterial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antifungal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sanogenic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effect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. </w:t>
      </w:r>
    </w:p>
    <w:p w:rsidR="00D641E5" w:rsidRPr="00D641E5" w:rsidRDefault="00D641E5" w:rsidP="00D641E5">
      <w:pPr>
        <w:keepNext/>
        <w:numPr>
          <w:ilvl w:val="0"/>
          <w:numId w:val="2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The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bactericidal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fungicidal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effect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indigenous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cyanobacterial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extracts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was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demonstrated</w:t>
      </w:r>
      <w:proofErr w:type="spellEnd"/>
    </w:p>
    <w:p w:rsidR="00D641E5" w:rsidRPr="00D641E5" w:rsidRDefault="00D641E5" w:rsidP="00D641E5">
      <w:pPr>
        <w:keepNext/>
        <w:numPr>
          <w:ilvl w:val="0"/>
          <w:numId w:val="2"/>
        </w:numPr>
        <w:spacing w:after="0" w:line="276" w:lineRule="auto"/>
        <w:outlineLvl w:val="0"/>
        <w:rPr>
          <w:rFonts w:ascii="Times New Roman" w:eastAsia="Calibri" w:hAnsi="Times New Roman" w:cs="Times New Roman"/>
          <w:b/>
          <w:bCs/>
          <w:i/>
          <w:color w:val="FF0000"/>
          <w:kern w:val="32"/>
          <w:sz w:val="24"/>
          <w:szCs w:val="24"/>
          <w:lang w:val="ro-MD"/>
        </w:rPr>
      </w:pPr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On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basis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the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results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obtained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two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purification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procedures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of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phycoerythrin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phycocyanin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with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anticancer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antibacterial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,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antifungal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and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sanogenic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effect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were</w:t>
      </w:r>
      <w:proofErr w:type="spellEnd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 xml:space="preserve"> </w:t>
      </w:r>
      <w:proofErr w:type="spellStart"/>
      <w:r w:rsidRPr="00D641E5">
        <w:rPr>
          <w:rFonts w:ascii="Times New Roman" w:eastAsia="Calibri" w:hAnsi="Times New Roman" w:cs="Times New Roman"/>
          <w:bCs/>
          <w:color w:val="000000"/>
          <w:kern w:val="32"/>
          <w:sz w:val="24"/>
          <w:szCs w:val="24"/>
          <w:lang w:val="ro-RO"/>
        </w:rPr>
        <w:t>developed</w:t>
      </w:r>
      <w:proofErr w:type="spellEnd"/>
      <w:r w:rsidRPr="00D641E5">
        <w:rPr>
          <w:rFonts w:ascii="Times New Roman" w:eastAsia="Calibri" w:hAnsi="Times New Roman" w:cs="Times New Roman"/>
          <w:bCs/>
          <w:iCs/>
          <w:kern w:val="32"/>
          <w:sz w:val="24"/>
          <w:szCs w:val="24"/>
          <w:lang w:val="ro-MD"/>
        </w:rPr>
        <w:t>.</w:t>
      </w:r>
    </w:p>
    <w:p w:rsidR="00D641E5" w:rsidRPr="00D641E5" w:rsidRDefault="00D641E5" w:rsidP="00D641E5">
      <w:pPr>
        <w:rPr>
          <w:lang w:val="ro-MD"/>
        </w:rPr>
      </w:pPr>
      <w:bookmarkStart w:id="0" w:name="_GoBack"/>
      <w:bookmarkEnd w:id="0"/>
    </w:p>
    <w:sectPr w:rsidR="00D641E5" w:rsidRPr="00D641E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2F6"/>
    <w:multiLevelType w:val="hybridMultilevel"/>
    <w:tmpl w:val="3A38FB72"/>
    <w:lvl w:ilvl="0" w:tplc="DBE20CC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FF40D1B"/>
    <w:multiLevelType w:val="hybridMultilevel"/>
    <w:tmpl w:val="EC18042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E5"/>
    <w:rsid w:val="00D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CF66"/>
  <w15:chartTrackingRefBased/>
  <w15:docId w15:val="{936EA1A6-80E7-4DE4-A750-A1252E13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2024-02-22T14:10:00Z</dcterms:created>
  <dcterms:modified xsi:type="dcterms:W3CDTF">2024-02-22T14:12:00Z</dcterms:modified>
</cp:coreProperties>
</file>