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56B4" w14:textId="77777777" w:rsidR="00DB6C16" w:rsidRPr="00DB6C16" w:rsidRDefault="00DB6C16" w:rsidP="00DB6C16">
      <w:pPr>
        <w:keepNext/>
        <w:widowControl w:val="0"/>
        <w:spacing w:after="120" w:line="276" w:lineRule="auto"/>
        <w:outlineLvl w:val="0"/>
        <w:rPr>
          <w:rFonts w:ascii="Times New Roman" w:eastAsia="Calibri" w:hAnsi="Times New Roman" w:cs="Times New Roman"/>
          <w:bCs/>
          <w:kern w:val="32"/>
          <w:sz w:val="24"/>
          <w:szCs w:val="24"/>
          <w14:ligatures w14:val="none"/>
        </w:rPr>
      </w:pPr>
      <w:r w:rsidRPr="00DB6C16">
        <w:rPr>
          <w:rFonts w:ascii="Times New Roman" w:eastAsia="Calibri" w:hAnsi="Times New Roman" w:cs="Times New Roman"/>
          <w:bCs/>
          <w:kern w:val="32"/>
          <w:sz w:val="24"/>
          <w:szCs w:val="24"/>
          <w14:ligatures w14:val="none"/>
        </w:rPr>
        <w:t>Anexa nr. 1</w:t>
      </w:r>
    </w:p>
    <w:p w14:paraId="4BC02E3A" w14:textId="77777777" w:rsidR="00DB6C16" w:rsidRPr="00DB6C16" w:rsidRDefault="00DB6C16" w:rsidP="00DB6C16">
      <w:pPr>
        <w:keepNext/>
        <w:spacing w:after="120" w:line="240" w:lineRule="auto"/>
        <w:jc w:val="center"/>
        <w:outlineLvl w:val="0"/>
        <w:rPr>
          <w:rFonts w:ascii="Times New Roman" w:eastAsia="Calibri" w:hAnsi="Times New Roman" w:cs="Times New Roman"/>
          <w:b/>
          <w:bCs/>
          <w:kern w:val="32"/>
          <w:sz w:val="24"/>
          <w:szCs w:val="24"/>
          <w14:ligatures w14:val="none"/>
        </w:rPr>
      </w:pPr>
      <w:r w:rsidRPr="00DB6C16">
        <w:rPr>
          <w:rFonts w:ascii="Times New Roman" w:eastAsia="Calibri" w:hAnsi="Times New Roman" w:cs="Times New Roman"/>
          <w:b/>
          <w:bCs/>
          <w:kern w:val="32"/>
          <w:sz w:val="24"/>
          <w:szCs w:val="24"/>
          <w14:ligatures w14:val="none"/>
        </w:rPr>
        <w:t>4. REZUMATUL ACTIVITĂ</w:t>
      </w:r>
      <w:r w:rsidRPr="00DB6C16">
        <w:rPr>
          <w:rFonts w:ascii="Calibri" w:eastAsia="Calibri" w:hAnsi="Calibri" w:cs="Times New Roman"/>
          <w:b/>
          <w:bCs/>
          <w:kern w:val="32"/>
          <w:sz w:val="24"/>
          <w:szCs w:val="24"/>
          <w14:ligatures w14:val="none"/>
        </w:rPr>
        <w:t>Ț</w:t>
      </w:r>
      <w:r w:rsidRPr="00DB6C16">
        <w:rPr>
          <w:rFonts w:ascii="Times New Roman" w:eastAsia="Calibri" w:hAnsi="Times New Roman" w:cs="Times New Roman"/>
          <w:b/>
          <w:bCs/>
          <w:kern w:val="32"/>
          <w:sz w:val="24"/>
          <w:szCs w:val="24"/>
          <w14:ligatures w14:val="none"/>
        </w:rPr>
        <w:t xml:space="preserve">II </w:t>
      </w:r>
      <w:r w:rsidRPr="00DB6C16">
        <w:rPr>
          <w:rFonts w:ascii="Calibri" w:eastAsia="Calibri" w:hAnsi="Calibri" w:cs="Times New Roman"/>
          <w:b/>
          <w:bCs/>
          <w:kern w:val="32"/>
          <w:sz w:val="24"/>
          <w:szCs w:val="24"/>
          <w14:ligatures w14:val="none"/>
        </w:rPr>
        <w:t>Ș</w:t>
      </w:r>
      <w:r w:rsidRPr="00DB6C16">
        <w:rPr>
          <w:rFonts w:ascii="Times New Roman" w:eastAsia="Calibri" w:hAnsi="Times New Roman" w:cs="Times New Roman"/>
          <w:b/>
          <w:bCs/>
          <w:kern w:val="32"/>
          <w:sz w:val="24"/>
          <w:szCs w:val="24"/>
          <w14:ligatures w14:val="none"/>
        </w:rPr>
        <w:t>I A REZULTATELOR OB</w:t>
      </w:r>
      <w:r w:rsidRPr="00DB6C16">
        <w:rPr>
          <w:rFonts w:ascii="Calibri" w:eastAsia="Calibri" w:hAnsi="Calibri" w:cs="Times New Roman"/>
          <w:b/>
          <w:bCs/>
          <w:kern w:val="32"/>
          <w:sz w:val="24"/>
          <w:szCs w:val="24"/>
          <w14:ligatures w14:val="none"/>
        </w:rPr>
        <w:t>Ț</w:t>
      </w:r>
      <w:r w:rsidRPr="00DB6C16">
        <w:rPr>
          <w:rFonts w:ascii="Times New Roman" w:eastAsia="Calibri" w:hAnsi="Times New Roman" w:cs="Times New Roman"/>
          <w:b/>
          <w:bCs/>
          <w:kern w:val="32"/>
          <w:sz w:val="24"/>
          <w:szCs w:val="24"/>
          <w14:ligatures w14:val="none"/>
        </w:rPr>
        <w:t>INUTE ÎN PROIECT PERIOADA 2020-2023</w:t>
      </w:r>
      <w:r w:rsidRPr="00DB6C16">
        <w:rPr>
          <w:rFonts w:ascii="Times New Roman" w:eastAsia="Calibri" w:hAnsi="Times New Roman" w:cs="Times New Roman"/>
          <w:bCs/>
          <w:i/>
          <w:kern w:val="32"/>
          <w:sz w:val="24"/>
          <w:szCs w:val="24"/>
          <w14:ligatures w14:val="none"/>
        </w:rPr>
        <w:t xml:space="preserve"> (în limba română)</w:t>
      </w:r>
    </w:p>
    <w:p w14:paraId="26BA4435" w14:textId="77777777" w:rsidR="00DB6C16" w:rsidRPr="00DB6C16" w:rsidRDefault="00DB6C16" w:rsidP="00DB6C16">
      <w:pPr>
        <w:widowControl w:val="0"/>
        <w:spacing w:after="0" w:line="240" w:lineRule="auto"/>
        <w:jc w:val="center"/>
        <w:rPr>
          <w:rFonts w:ascii="Times New Roman" w:eastAsia="Microsoft Sans Serif" w:hAnsi="Times New Roman" w:cs="Times New Roman"/>
          <w:b/>
          <w:i/>
          <w:color w:val="FF0000"/>
          <w:kern w:val="0"/>
          <w:sz w:val="20"/>
          <w:szCs w:val="24"/>
          <w:lang w:bidi="ro-RO"/>
        </w:rPr>
      </w:pPr>
      <w:r w:rsidRPr="00DB6C16">
        <w:rPr>
          <w:rFonts w:ascii="Times New Roman" w:eastAsia="Microsoft Sans Serif" w:hAnsi="Times New Roman" w:cs="Times New Roman"/>
          <w:color w:val="000000"/>
          <w:sz w:val="24"/>
          <w:szCs w:val="24"/>
          <w:lang w:bidi="ro-RO"/>
        </w:rPr>
        <w:t xml:space="preserve">Proiectul: </w:t>
      </w:r>
      <w:r w:rsidRPr="00DB6C16">
        <w:rPr>
          <w:rFonts w:ascii="Times New Roman" w:eastAsia="Microsoft Sans Serif" w:hAnsi="Times New Roman" w:cs="Times New Roman"/>
          <w:b/>
          <w:i/>
          <w:color w:val="000000"/>
          <w:sz w:val="24"/>
          <w:szCs w:val="24"/>
          <w:lang w:bidi="ro-RO"/>
        </w:rPr>
        <w:t xml:space="preserve">Evaluarea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optimizarea bilan</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 xml:space="preserve">ului elementelor nutritive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materiei organice pentru perfec</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ionarea sistemului de fertilizare a culturilor agricole prin eficientizarea utilizării îngră</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 xml:space="preserve">ămintelor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sporirea fertilită</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ii solului în agricultura durabilă</w:t>
      </w:r>
    </w:p>
    <w:p w14:paraId="52D776A0" w14:textId="77777777" w:rsidR="00DB6C16" w:rsidRPr="00DB6C16" w:rsidRDefault="00DB6C16" w:rsidP="00DB6C16">
      <w:pPr>
        <w:keepNext/>
        <w:spacing w:after="120" w:line="240" w:lineRule="auto"/>
        <w:outlineLvl w:val="0"/>
        <w:rPr>
          <w:rFonts w:ascii="Times New Roman" w:eastAsia="Calibri" w:hAnsi="Times New Roman" w:cs="Times New Roman"/>
          <w:bCs/>
          <w:kern w:val="32"/>
          <w:sz w:val="24"/>
          <w:szCs w:val="24"/>
          <w14:ligatures w14:val="none"/>
        </w:rPr>
      </w:pPr>
      <w:r w:rsidRPr="00DB6C16">
        <w:rPr>
          <w:rFonts w:ascii="Times New Roman" w:eastAsia="Calibri" w:hAnsi="Times New Roman" w:cs="Times New Roman"/>
          <w:kern w:val="0"/>
          <w:sz w:val="24"/>
          <w:szCs w:val="24"/>
          <w14:ligatures w14:val="none"/>
        </w:rPr>
        <w:t>Cifrul proiectului:</w:t>
      </w:r>
      <w:r w:rsidRPr="00DB6C16">
        <w:rPr>
          <w:rFonts w:ascii="Times New Roman" w:eastAsia="Calibri" w:hAnsi="Times New Roman" w:cs="Times New Roman"/>
          <w:b/>
          <w:kern w:val="0"/>
          <w:sz w:val="24"/>
          <w:szCs w:val="24"/>
          <w14:ligatures w14:val="none"/>
        </w:rPr>
        <w:t xml:space="preserve"> 20.80009.5107.25</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B6C16" w:rsidRPr="00DB6C16" w14:paraId="3866A899" w14:textId="77777777" w:rsidTr="00DB6C16">
        <w:trPr>
          <w:trHeight w:val="10260"/>
        </w:trPr>
        <w:tc>
          <w:tcPr>
            <w:tcW w:w="9558" w:type="dxa"/>
            <w:tcBorders>
              <w:top w:val="single" w:sz="4" w:space="0" w:color="auto"/>
              <w:left w:val="single" w:sz="4" w:space="0" w:color="auto"/>
              <w:bottom w:val="single" w:sz="4" w:space="0" w:color="auto"/>
              <w:right w:val="single" w:sz="4" w:space="0" w:color="auto"/>
            </w:tcBorders>
            <w:hideMark/>
          </w:tcPr>
          <w:p w14:paraId="2EEEBC01" w14:textId="77777777" w:rsidR="00DB6C16" w:rsidRPr="00DB6C16" w:rsidRDefault="00DB6C16" w:rsidP="00DB6C16">
            <w:pPr>
              <w:widowControl w:val="0"/>
              <w:spacing w:after="0" w:line="240" w:lineRule="auto"/>
              <w:jc w:val="both"/>
              <w:rPr>
                <w:rFonts w:ascii="Times New Roman" w:eastAsia="Calibri" w:hAnsi="Times New Roman" w:cs="Times New Roman"/>
                <w:kern w:val="0"/>
                <w:sz w:val="24"/>
                <w:szCs w:val="24"/>
                <w14:ligatures w14:val="none"/>
              </w:rPr>
            </w:pPr>
            <w:r w:rsidRPr="00DB6C16">
              <w:rPr>
                <w:rFonts w:ascii="Times New Roman" w:eastAsia="Times New Roman" w:hAnsi="Times New Roman" w:cs="Times New Roman"/>
                <w:b/>
                <w:i/>
                <w:kern w:val="0"/>
                <w:sz w:val="24"/>
                <w:szCs w:val="24"/>
                <w:lang w:eastAsia="ru-RU"/>
                <w14:ligatures w14:val="none"/>
              </w:rPr>
              <w:t>Rezumat:</w:t>
            </w:r>
            <w:r w:rsidRPr="00DB6C16">
              <w:rPr>
                <w:rFonts w:ascii="Times New Roman" w:eastAsia="Times New Roman" w:hAnsi="Times New Roman" w:cs="Times New Roman"/>
                <w:i/>
                <w:kern w:val="0"/>
                <w:sz w:val="24"/>
                <w:szCs w:val="24"/>
                <w:lang w:eastAsia="ru-RU"/>
                <w14:ligatures w14:val="none"/>
              </w:rPr>
              <w:t xml:space="preserve"> Scopul proiectului</w:t>
            </w:r>
            <w:r w:rsidRPr="00DB6C16">
              <w:rPr>
                <w:rFonts w:ascii="Times New Roman" w:eastAsia="Times New Roman" w:hAnsi="Times New Roman" w:cs="Times New Roman"/>
                <w:kern w:val="0"/>
                <w:sz w:val="24"/>
                <w:szCs w:val="24"/>
                <w:lang w:eastAsia="ru-RU"/>
                <w14:ligatures w14:val="none"/>
              </w:rPr>
              <w:t xml:space="preserve"> a fost determinarea bilanţului humusului şi elementelor nutritive în agricultura Moldovei şi în asolamentele din experien</w:t>
            </w:r>
            <w:r w:rsidRPr="00DB6C16">
              <w:rPr>
                <w:rFonts w:ascii="Calibri" w:eastAsia="Times New Roman" w:hAnsi="Calibri" w:cs="Times New Roman"/>
                <w:kern w:val="0"/>
                <w:sz w:val="24"/>
                <w:szCs w:val="24"/>
                <w:lang w:eastAsia="ru-RU"/>
                <w14:ligatures w14:val="none"/>
              </w:rPr>
              <w:t>ț</w:t>
            </w:r>
            <w:r w:rsidRPr="00DB6C16">
              <w:rPr>
                <w:rFonts w:ascii="Times New Roman" w:eastAsia="Times New Roman" w:hAnsi="Times New Roman" w:cs="Times New Roman"/>
                <w:kern w:val="0"/>
                <w:sz w:val="24"/>
                <w:szCs w:val="24"/>
                <w:lang w:eastAsia="ru-RU"/>
                <w14:ligatures w14:val="none"/>
              </w:rPr>
              <w:t xml:space="preserve">ele de lungă durată. </w:t>
            </w:r>
            <w:r w:rsidRPr="00DB6C16">
              <w:rPr>
                <w:rFonts w:ascii="Times New Roman" w:eastAsia="Calibri" w:hAnsi="Times New Roman" w:cs="Times New Roman"/>
                <w:kern w:val="0"/>
                <w:sz w:val="24"/>
                <w:szCs w:val="24"/>
                <w14:ligatures w14:val="none"/>
              </w:rPr>
              <w:t>La calcularea bilanţului  s-au folosit datele statistice privind suprafeţele şi recoltele culturilor agricole, administrarea îngrăşămintelor  minerale  şi organice în perioada 1991-2020. Pe experienţe, obiectele de studiu  au fost: solul cenuşiu de pădure şi cernoziomul levigat din staţiunile de lungă durată din com. Ivancea, r-l Orhei şi cernoziomul carbonatic din com. Grigorievca, r-l Căuşeni; asolamentele de câmp cu următoarele culturi: grâu de toamnă, porumb-boabe, floarea-soarelui şi leguminoase boabe; deşeurile organogene: drojdiile vinicole, borhotul de cereale, vinasa, nămolul deshidratat în geotuburi, gunoiul de grajd amestecat şi paiele nefermentate  în cadrul a 4 experien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 xml:space="preserve">e de câmp. </w:t>
            </w:r>
            <w:r w:rsidRPr="00DB6C16">
              <w:rPr>
                <w:rFonts w:ascii="Times New Roman" w:eastAsia="Calibri" w:hAnsi="Times New Roman" w:cs="Times New Roman"/>
                <w:i/>
                <w:kern w:val="0"/>
                <w:sz w:val="24"/>
                <w:szCs w:val="24"/>
                <w14:ligatures w14:val="none"/>
              </w:rPr>
              <w:t>Obiectivul investigaţiilor</w:t>
            </w:r>
            <w:r w:rsidRPr="00DB6C16">
              <w:rPr>
                <w:rFonts w:ascii="Times New Roman" w:eastAsia="Calibri" w:hAnsi="Times New Roman" w:cs="Times New Roman"/>
                <w:kern w:val="0"/>
                <w:sz w:val="24"/>
                <w:szCs w:val="24"/>
                <w14:ligatures w14:val="none"/>
              </w:rPr>
              <w:t xml:space="preserve"> pe anii 2020-</w:t>
            </w:r>
            <w:smartTag w:uri="urn:schemas-microsoft-com:office:smarttags" w:element="metricconverter">
              <w:smartTagPr>
                <w:attr w:name="ProductID" w:val="2023 a"/>
              </w:smartTagPr>
              <w:r w:rsidRPr="00DB6C16">
                <w:rPr>
                  <w:rFonts w:ascii="Times New Roman" w:eastAsia="Calibri" w:hAnsi="Times New Roman" w:cs="Times New Roman"/>
                  <w:kern w:val="0"/>
                  <w:sz w:val="24"/>
                  <w:szCs w:val="24"/>
                  <w14:ligatures w14:val="none"/>
                </w:rPr>
                <w:t>2023 a</w:t>
              </w:r>
            </w:smartTag>
            <w:r w:rsidRPr="00DB6C16">
              <w:rPr>
                <w:rFonts w:ascii="Times New Roman" w:eastAsia="Calibri" w:hAnsi="Times New Roman" w:cs="Times New Roman"/>
                <w:kern w:val="0"/>
                <w:sz w:val="24"/>
                <w:szCs w:val="24"/>
                <w14:ligatures w14:val="none"/>
              </w:rPr>
              <w:t xml:space="preserve"> constat în d</w:t>
            </w:r>
            <w:r w:rsidRPr="00DB6C16">
              <w:rPr>
                <w:rFonts w:ascii="Times New Roman" w:eastAsia="Times New Roman" w:hAnsi="Times New Roman" w:cs="Times New Roman"/>
                <w:kern w:val="0"/>
                <w:sz w:val="24"/>
                <w:szCs w:val="24"/>
                <w:lang w:eastAsia="ru-RU"/>
                <w14:ligatures w14:val="none"/>
              </w:rPr>
              <w:t>eterminarea bilanţului elementelor nutritive în experien</w:t>
            </w:r>
            <w:r w:rsidRPr="00DB6C16">
              <w:rPr>
                <w:rFonts w:ascii="Calibri" w:eastAsia="Times New Roman" w:hAnsi="Calibri" w:cs="Times New Roman"/>
                <w:kern w:val="0"/>
                <w:sz w:val="24"/>
                <w:szCs w:val="24"/>
                <w:lang w:eastAsia="ru-RU"/>
                <w14:ligatures w14:val="none"/>
              </w:rPr>
              <w:t>ț</w:t>
            </w:r>
            <w:r w:rsidRPr="00DB6C16">
              <w:rPr>
                <w:rFonts w:ascii="Times New Roman" w:eastAsia="Times New Roman" w:hAnsi="Times New Roman" w:cs="Times New Roman"/>
                <w:kern w:val="0"/>
                <w:sz w:val="24"/>
                <w:szCs w:val="24"/>
                <w:lang w:eastAsia="ru-RU"/>
                <w14:ligatures w14:val="none"/>
              </w:rPr>
              <w:t xml:space="preserve">ele de lungă durată la nivel de cultură, asolament funcţie de sol, cultură, norma şi tipul de îngrăşăminte. Evaluarea circuitului de elemente biofile în agricultură pe culturi, ramură, total pe ţară în perioada anilor 1990-2020 în Moldova. </w:t>
            </w:r>
            <w:r w:rsidRPr="00DB6C16">
              <w:rPr>
                <w:rFonts w:ascii="Times New Roman" w:eastAsia="Calibri" w:hAnsi="Times New Roman" w:cs="Times New Roman"/>
                <w:kern w:val="0"/>
                <w:sz w:val="24"/>
                <w:szCs w:val="24"/>
                <w14:ligatures w14:val="none"/>
              </w:rPr>
              <w:t>Analiza  comparativă  a datelor  bilan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ului din experien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 xml:space="preserve">ele de lungă durată </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 xml:space="preserve">i cele din producere </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i evaluarea stării actuale a fertilită</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ii solurilor</w:t>
            </w:r>
            <w:r w:rsidRPr="00DB6C16">
              <w:rPr>
                <w:rFonts w:ascii="Times New Roman" w:eastAsia="Times New Roman" w:hAnsi="Times New Roman" w:cs="Times New Roman"/>
                <w:kern w:val="0"/>
                <w:sz w:val="24"/>
                <w:szCs w:val="24"/>
                <w:lang w:eastAsia="ru-RU"/>
                <w14:ligatures w14:val="none"/>
              </w:rPr>
              <w:t>.</w:t>
            </w:r>
            <w:r w:rsidRPr="00DB6C16">
              <w:rPr>
                <w:rFonts w:ascii="Times New Roman" w:eastAsia="Calibri" w:hAnsi="Times New Roman" w:cs="Times New Roman"/>
                <w:b/>
                <w:kern w:val="0"/>
                <w:sz w:val="24"/>
                <w:szCs w:val="24"/>
                <w14:ligatures w14:val="none"/>
              </w:rPr>
              <w:t xml:space="preserve"> </w:t>
            </w:r>
            <w:r w:rsidRPr="00DB6C16">
              <w:rPr>
                <w:rFonts w:ascii="Times New Roman" w:eastAsia="Calibri" w:hAnsi="Times New Roman" w:cs="Times New Roman"/>
                <w:kern w:val="0"/>
                <w:sz w:val="24"/>
                <w:szCs w:val="24"/>
                <w14:ligatures w14:val="none"/>
              </w:rPr>
              <w:t>Elaborarea modelelor şi metodelor de formare a unui bilanţ echilibrat de elemente biofile pentru perfec</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ionarea sistemelor de fertilizare a culturilor agricole</w:t>
            </w:r>
            <w:r w:rsidRPr="00DB6C16">
              <w:rPr>
                <w:rFonts w:ascii="Times New Roman" w:eastAsia="Calibri" w:hAnsi="Times New Roman" w:cs="Times New Roman"/>
                <w:b/>
                <w:kern w:val="0"/>
                <w:sz w:val="24"/>
                <w:szCs w:val="24"/>
                <w14:ligatures w14:val="none"/>
              </w:rPr>
              <w:t xml:space="preserve"> </w:t>
            </w:r>
            <w:r w:rsidRPr="00DB6C16">
              <w:rPr>
                <w:rFonts w:ascii="Times New Roman"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i eficientizarea utilizării îngră</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ămintelor şi sporirii fertilită</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ii solului în agricultura durabilă.</w:t>
            </w:r>
          </w:p>
          <w:p w14:paraId="17AF5113" w14:textId="77777777" w:rsidR="00DB6C16" w:rsidRPr="00DB6C16" w:rsidRDefault="00DB6C16" w:rsidP="00DB6C16">
            <w:pPr>
              <w:widowControl w:val="0"/>
              <w:spacing w:after="0" w:line="240" w:lineRule="auto"/>
              <w:jc w:val="both"/>
              <w:rPr>
                <w:rFonts w:ascii="Times New Roman" w:eastAsia="Calibri" w:hAnsi="Times New Roman" w:cs="Times New Roman"/>
                <w:kern w:val="0"/>
                <w:sz w:val="24"/>
                <w:szCs w:val="24"/>
                <w14:ligatures w14:val="none"/>
              </w:rPr>
            </w:pPr>
            <w:r w:rsidRPr="00DB6C16">
              <w:rPr>
                <w:rFonts w:ascii="Times New Roman" w:eastAsia="Calibri" w:hAnsi="Times New Roman" w:cs="Times New Roman"/>
                <w:kern w:val="0"/>
                <w:sz w:val="24"/>
                <w:szCs w:val="24"/>
                <w14:ligatures w14:val="none"/>
              </w:rPr>
              <w:t>S-a calculat bilan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ul humusului, azotului, fosforului şi potasiului pe culturi şi pe câmpuri, funcţie de sistemul şi norma de fertilizare aplicată în perioada 1991-2020 în 14 experienţe de câmp pe sol cenu</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 xml:space="preserve">iu de pădure; cernoziom levigat, carbonatic </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i obi</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nuit. S-a determinat bilan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 xml:space="preserve">ul pe culturi, total în asolament, câmp, tip </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 xml:space="preserve">i subtip de sol </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i de de</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eu organogen. S-a stabilit, că sistemul de fertilizare organo-mineral asigură un bilanţ echilibrat de NPK şi humus în asolamentele de câmp pe sol cenu</w:t>
            </w:r>
            <w:r w:rsidRPr="00DB6C16">
              <w:rPr>
                <w:rFonts w:ascii="Calibri" w:eastAsia="Calibri" w:hAnsi="Calibri" w:cs="Times New Roman"/>
                <w:kern w:val="0"/>
                <w:sz w:val="24"/>
                <w:szCs w:val="24"/>
                <w14:ligatures w14:val="none"/>
              </w:rPr>
              <w:t>ș</w:t>
            </w:r>
            <w:r w:rsidRPr="00DB6C16">
              <w:rPr>
                <w:rFonts w:ascii="Times New Roman" w:eastAsia="Calibri" w:hAnsi="Times New Roman" w:cs="Times New Roman"/>
                <w:kern w:val="0"/>
                <w:sz w:val="24"/>
                <w:szCs w:val="24"/>
                <w14:ligatures w14:val="none"/>
              </w:rPr>
              <w:t>iu de pădure şi cernoziom levigat la norme reduse şi moderate de fertilizan</w:t>
            </w:r>
            <w:r w:rsidRPr="00DB6C16">
              <w:rPr>
                <w:rFonts w:ascii="Calibri" w:eastAsia="Calibri" w:hAnsi="Calibri" w:cs="Times New Roman"/>
                <w:kern w:val="0"/>
                <w:sz w:val="24"/>
                <w:szCs w:val="24"/>
                <w14:ligatures w14:val="none"/>
              </w:rPr>
              <w:t>ț</w:t>
            </w:r>
            <w:r w:rsidRPr="00DB6C16">
              <w:rPr>
                <w:rFonts w:ascii="Times New Roman" w:eastAsia="Calibri" w:hAnsi="Times New Roman" w:cs="Times New Roman"/>
                <w:kern w:val="0"/>
                <w:sz w:val="24"/>
                <w:szCs w:val="24"/>
                <w14:ligatures w14:val="none"/>
              </w:rPr>
              <w:t xml:space="preserve">i, iar sistemul mineral doar la norme ridicate de  aplicare a îngrăşămintelor. </w:t>
            </w:r>
          </w:p>
          <w:p w14:paraId="3BC61028" w14:textId="77777777" w:rsidR="00DB6C16" w:rsidRPr="00DB6C16" w:rsidRDefault="00DB6C16" w:rsidP="00DB6C16">
            <w:pPr>
              <w:keepLines/>
              <w:widowControl w:val="0"/>
              <w:tabs>
                <w:tab w:val="left" w:pos="1230"/>
              </w:tabs>
              <w:spacing w:after="0" w:line="240" w:lineRule="auto"/>
              <w:jc w:val="both"/>
              <w:outlineLvl w:val="8"/>
              <w:rPr>
                <w:rFonts w:ascii="Times New Roman" w:eastAsia="Calibri" w:hAnsi="Times New Roman" w:cs="Times New Roman"/>
                <w:bCs/>
                <w:kern w:val="0"/>
                <w:sz w:val="24"/>
                <w:szCs w:val="24"/>
                <w14:ligatures w14:val="none"/>
              </w:rPr>
            </w:pPr>
            <w:r w:rsidRPr="00DB6C16">
              <w:rPr>
                <w:rFonts w:ascii="Times New Roman" w:eastAsia="Calibri" w:hAnsi="Times New Roman" w:cs="Times New Roman"/>
                <w:kern w:val="0"/>
                <w:sz w:val="24"/>
                <w:szCs w:val="24"/>
                <w14:ligatures w14:val="none"/>
              </w:rPr>
              <w:t xml:space="preserve"> Pe ansamblul suprafeţei evaluate de </w:t>
            </w:r>
            <w:smartTag w:uri="urn:schemas-microsoft-com:office:smarttags" w:element="metricconverter">
              <w:smartTagPr>
                <w:attr w:name="ProductID" w:val="1,771 ha"/>
              </w:smartTagPr>
              <w:r w:rsidRPr="00DB6C16">
                <w:rPr>
                  <w:rFonts w:ascii="Times New Roman" w:eastAsia="Calibri" w:hAnsi="Times New Roman" w:cs="Times New Roman"/>
                  <w:kern w:val="0"/>
                  <w:sz w:val="24"/>
                  <w:szCs w:val="24"/>
                  <w14:ligatures w14:val="none"/>
                </w:rPr>
                <w:t>1,771 ha</w:t>
              </w:r>
            </w:smartTag>
            <w:r w:rsidRPr="00DB6C16">
              <w:rPr>
                <w:rFonts w:ascii="Times New Roman" w:eastAsia="Calibri" w:hAnsi="Times New Roman" w:cs="Times New Roman"/>
                <w:kern w:val="0"/>
                <w:sz w:val="24"/>
                <w:szCs w:val="24"/>
                <w14:ligatures w14:val="none"/>
              </w:rPr>
              <w:t xml:space="preserve"> bilanţul anual al  humusului  în  medie pe perioada 1991-2020 este negativ, de cca  -840 kg/ha, iar la arabil  -969 kg/ha. În total în această perioadă la </w:t>
            </w:r>
            <w:smartTag w:uri="urn:schemas-microsoft-com:office:smarttags" w:element="metricconverter">
              <w:smartTagPr>
                <w:attr w:name="ProductID" w:val="1 ha"/>
              </w:smartTagPr>
              <w:r w:rsidRPr="00DB6C16">
                <w:rPr>
                  <w:rFonts w:ascii="Times New Roman" w:eastAsia="Calibri" w:hAnsi="Times New Roman" w:cs="Times New Roman"/>
                  <w:kern w:val="0"/>
                  <w:sz w:val="24"/>
                  <w:szCs w:val="24"/>
                  <w14:ligatures w14:val="none"/>
                </w:rPr>
                <w:t>1 ha</w:t>
              </w:r>
            </w:smartTag>
            <w:r w:rsidRPr="00DB6C16">
              <w:rPr>
                <w:rFonts w:ascii="Times New Roman" w:eastAsia="Calibri" w:hAnsi="Times New Roman" w:cs="Times New Roman"/>
                <w:kern w:val="0"/>
                <w:sz w:val="24"/>
                <w:szCs w:val="24"/>
                <w14:ligatures w14:val="none"/>
              </w:rPr>
              <w:t xml:space="preserve"> de teren agricol s-au pierdut cca 25,2 t/ha de  materie organică. În urma  cercetărilor s-a  stabilit că culturile de bază: grâul de toamnă, porumb boabe şi floarea-soarelui au exportat din sol cca 68-87 kg/ha de azot, 22-24 kg/ha de fosfor şi 50-85 kg/ha de potasiu. În această perioadă sub aceste culturi s-au aplicat anual doar 10-</w:t>
            </w:r>
            <w:smartTag w:uri="urn:schemas-microsoft-com:office:smarttags" w:element="metricconverter">
              <w:smartTagPr>
                <w:attr w:name="ProductID" w:val="37 kg"/>
              </w:smartTagPr>
              <w:r w:rsidRPr="00DB6C16">
                <w:rPr>
                  <w:rFonts w:ascii="Times New Roman" w:eastAsia="Calibri" w:hAnsi="Times New Roman" w:cs="Times New Roman"/>
                  <w:kern w:val="0"/>
                  <w:sz w:val="24"/>
                  <w:szCs w:val="24"/>
                  <w14:ligatures w14:val="none"/>
                </w:rPr>
                <w:t>37 kg</w:t>
              </w:r>
            </w:smartTag>
            <w:r w:rsidRPr="00DB6C16">
              <w:rPr>
                <w:rFonts w:ascii="Times New Roman" w:eastAsia="Calibri" w:hAnsi="Times New Roman" w:cs="Times New Roman"/>
                <w:kern w:val="0"/>
                <w:sz w:val="24"/>
                <w:szCs w:val="24"/>
                <w14:ligatures w14:val="none"/>
              </w:rPr>
              <w:t xml:space="preserve"> de azot,7-</w:t>
            </w:r>
            <w:smartTag w:uri="urn:schemas-microsoft-com:office:smarttags" w:element="metricconverter">
              <w:smartTagPr>
                <w:attr w:name="ProductID" w:val="8 kg"/>
              </w:smartTagPr>
              <w:r w:rsidRPr="00DB6C16">
                <w:rPr>
                  <w:rFonts w:ascii="Times New Roman" w:eastAsia="Calibri" w:hAnsi="Times New Roman" w:cs="Times New Roman"/>
                  <w:kern w:val="0"/>
                  <w:sz w:val="24"/>
                  <w:szCs w:val="24"/>
                  <w14:ligatures w14:val="none"/>
                </w:rPr>
                <w:t>8 kg</w:t>
              </w:r>
            </w:smartTag>
            <w:r w:rsidRPr="00DB6C16">
              <w:rPr>
                <w:rFonts w:ascii="Times New Roman" w:eastAsia="Calibri" w:hAnsi="Times New Roman" w:cs="Times New Roman"/>
                <w:kern w:val="0"/>
                <w:sz w:val="24"/>
                <w:szCs w:val="24"/>
                <w14:ligatures w14:val="none"/>
              </w:rPr>
              <w:t xml:space="preserve"> de fosfor şi 4-5 kg/ha de potasiu. Ca rezultat, bilanţul elementelor nutritive în medie pe 30 de ani a fost negativ,  constituind respectiv: azot - -50...-58 kg/ha, fosfor - -15...-18 kg/ha şi potasiu - -47...-82 kg/ha. În intervalul 1991-2020 în total s-au extras din sol cca 2,0-2,6 t/ha de azot, 0,66-0,68 t/ha de fosfor şi 1,6-2,6 t/ha de potasiu, dar s-au administrat doar 0,3-1,1 t/ha azot, 0,2-0,3 de fosfor şi 0,11-0,14 t/ha de potasiu. Ca rezultat bilanţul a fost negativ, respectiv: -1,5...-1,74 t/ha azot, 0,4-0,55 t/ha fosfor şi 1,4-2,45  t/ha potasiu.</w:t>
            </w:r>
          </w:p>
        </w:tc>
      </w:tr>
    </w:tbl>
    <w:p w14:paraId="555EB5CB" w14:textId="77777777" w:rsidR="00DB6C16" w:rsidRPr="00DB6C16" w:rsidRDefault="00DB6C16" w:rsidP="00DB6C16">
      <w:pPr>
        <w:keepNext/>
        <w:widowControl w:val="0"/>
        <w:spacing w:after="120" w:line="276" w:lineRule="auto"/>
        <w:ind w:left="720"/>
        <w:jc w:val="right"/>
        <w:outlineLvl w:val="0"/>
        <w:rPr>
          <w:rFonts w:ascii="Times New Roman" w:eastAsia="Calibri" w:hAnsi="Times New Roman" w:cs="Times New Roman"/>
          <w:bCs/>
          <w:kern w:val="32"/>
          <w:sz w:val="24"/>
          <w:szCs w:val="24"/>
          <w14:ligatures w14:val="none"/>
        </w:rPr>
      </w:pPr>
      <w:r w:rsidRPr="00DB6C16">
        <w:rPr>
          <w:rFonts w:ascii="Times New Roman" w:eastAsia="Calibri" w:hAnsi="Times New Roman" w:cs="Times New Roman"/>
          <w:bCs/>
          <w:kern w:val="32"/>
          <w:sz w:val="24"/>
          <w:szCs w:val="24"/>
          <w14:ligatures w14:val="none"/>
        </w:rPr>
        <w:t>Anexa nr. 1</w:t>
      </w:r>
    </w:p>
    <w:p w14:paraId="2D712023" w14:textId="77777777" w:rsidR="00DB6C16" w:rsidRPr="00DB6C16" w:rsidRDefault="00DB6C16" w:rsidP="00DB6C16">
      <w:pPr>
        <w:keepNext/>
        <w:widowControl w:val="0"/>
        <w:spacing w:after="120" w:line="276" w:lineRule="auto"/>
        <w:ind w:left="720"/>
        <w:jc w:val="center"/>
        <w:outlineLvl w:val="0"/>
        <w:rPr>
          <w:rFonts w:ascii="Times New Roman" w:eastAsia="Calibri" w:hAnsi="Times New Roman" w:cs="Times New Roman"/>
          <w:bCs/>
          <w:kern w:val="32"/>
          <w:sz w:val="24"/>
          <w:szCs w:val="24"/>
          <w14:ligatures w14:val="none"/>
        </w:rPr>
      </w:pPr>
      <w:r w:rsidRPr="00DB6C16">
        <w:rPr>
          <w:rFonts w:ascii="Times New Roman" w:eastAsia="Calibri" w:hAnsi="Times New Roman" w:cs="Times New Roman"/>
          <w:b/>
          <w:bCs/>
          <w:kern w:val="32"/>
          <w:sz w:val="24"/>
          <w:szCs w:val="24"/>
          <w14:ligatures w14:val="none"/>
        </w:rPr>
        <w:t>5. REZUMATUL ACTIVITĂ</w:t>
      </w:r>
      <w:r w:rsidRPr="00DB6C16">
        <w:rPr>
          <w:rFonts w:ascii="Calibri" w:eastAsia="Calibri" w:hAnsi="Calibri" w:cs="Times New Roman"/>
          <w:b/>
          <w:bCs/>
          <w:kern w:val="32"/>
          <w:sz w:val="24"/>
          <w:szCs w:val="24"/>
          <w14:ligatures w14:val="none"/>
        </w:rPr>
        <w:t>Ț</w:t>
      </w:r>
      <w:r w:rsidRPr="00DB6C16">
        <w:rPr>
          <w:rFonts w:ascii="Times New Roman" w:eastAsia="Calibri" w:hAnsi="Times New Roman" w:cs="Times New Roman"/>
          <w:b/>
          <w:bCs/>
          <w:kern w:val="32"/>
          <w:sz w:val="24"/>
          <w:szCs w:val="24"/>
          <w14:ligatures w14:val="none"/>
        </w:rPr>
        <w:t xml:space="preserve">II </w:t>
      </w:r>
      <w:r w:rsidRPr="00DB6C16">
        <w:rPr>
          <w:rFonts w:ascii="Calibri" w:eastAsia="Calibri" w:hAnsi="Calibri" w:cs="Times New Roman"/>
          <w:b/>
          <w:bCs/>
          <w:kern w:val="32"/>
          <w:sz w:val="24"/>
          <w:szCs w:val="24"/>
          <w14:ligatures w14:val="none"/>
        </w:rPr>
        <w:t>Ș</w:t>
      </w:r>
      <w:r w:rsidRPr="00DB6C16">
        <w:rPr>
          <w:rFonts w:ascii="Times New Roman" w:eastAsia="Calibri" w:hAnsi="Times New Roman" w:cs="Times New Roman"/>
          <w:b/>
          <w:bCs/>
          <w:kern w:val="32"/>
          <w:sz w:val="24"/>
          <w:szCs w:val="24"/>
          <w14:ligatures w14:val="none"/>
        </w:rPr>
        <w:t>I A REZULTATELOR OB</w:t>
      </w:r>
      <w:r w:rsidRPr="00DB6C16">
        <w:rPr>
          <w:rFonts w:ascii="Calibri" w:eastAsia="Calibri" w:hAnsi="Calibri" w:cs="Times New Roman"/>
          <w:b/>
          <w:bCs/>
          <w:kern w:val="32"/>
          <w:sz w:val="24"/>
          <w:szCs w:val="24"/>
          <w14:ligatures w14:val="none"/>
        </w:rPr>
        <w:t>Ț</w:t>
      </w:r>
      <w:r w:rsidRPr="00DB6C16">
        <w:rPr>
          <w:rFonts w:ascii="Times New Roman" w:eastAsia="Calibri" w:hAnsi="Times New Roman" w:cs="Times New Roman"/>
          <w:b/>
          <w:bCs/>
          <w:kern w:val="32"/>
          <w:sz w:val="24"/>
          <w:szCs w:val="24"/>
          <w14:ligatures w14:val="none"/>
        </w:rPr>
        <w:t>INUTE ÎN PROIECT PERIOADA 2020-2023</w:t>
      </w:r>
      <w:r w:rsidRPr="00DB6C16">
        <w:rPr>
          <w:rFonts w:ascii="Times New Roman" w:eastAsia="Calibri" w:hAnsi="Times New Roman" w:cs="Times New Roman"/>
          <w:bCs/>
          <w:i/>
          <w:kern w:val="32"/>
          <w:sz w:val="24"/>
          <w:szCs w:val="24"/>
          <w14:ligatures w14:val="none"/>
        </w:rPr>
        <w:t xml:space="preserve"> (în limba engleză)</w:t>
      </w:r>
    </w:p>
    <w:p w14:paraId="67EAAE10" w14:textId="77777777" w:rsidR="00DB6C16" w:rsidRPr="00DB6C16" w:rsidRDefault="00DB6C16" w:rsidP="00DB6C16">
      <w:pPr>
        <w:widowControl w:val="0"/>
        <w:spacing w:after="0" w:line="240" w:lineRule="auto"/>
        <w:ind w:left="720"/>
        <w:jc w:val="center"/>
        <w:rPr>
          <w:rFonts w:ascii="Times New Roman" w:eastAsia="Microsoft Sans Serif" w:hAnsi="Times New Roman" w:cs="Times New Roman"/>
          <w:b/>
          <w:i/>
          <w:color w:val="FF0000"/>
          <w:kern w:val="0"/>
          <w:sz w:val="20"/>
          <w:szCs w:val="24"/>
          <w:lang w:bidi="ro-RO"/>
        </w:rPr>
      </w:pPr>
      <w:r w:rsidRPr="00DB6C16">
        <w:rPr>
          <w:rFonts w:ascii="Times New Roman" w:eastAsia="Microsoft Sans Serif" w:hAnsi="Times New Roman" w:cs="Times New Roman"/>
          <w:color w:val="000000"/>
          <w:sz w:val="24"/>
          <w:szCs w:val="24"/>
          <w:lang w:bidi="ro-RO"/>
        </w:rPr>
        <w:t xml:space="preserve">Proiectul: </w:t>
      </w:r>
      <w:r w:rsidRPr="00DB6C16">
        <w:rPr>
          <w:rFonts w:ascii="Times New Roman" w:eastAsia="Microsoft Sans Serif" w:hAnsi="Times New Roman" w:cs="Times New Roman"/>
          <w:b/>
          <w:i/>
          <w:color w:val="000000"/>
          <w:sz w:val="24"/>
          <w:szCs w:val="24"/>
          <w:lang w:bidi="ro-RO"/>
        </w:rPr>
        <w:t xml:space="preserve">Evaluarea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optimizarea bilan</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 xml:space="preserve">ului elementelor nutritive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materiei organice pentru perfec</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 xml:space="preserve">ionarea sistemului de fertilizare a culturilor agricole prin </w:t>
      </w:r>
      <w:r w:rsidRPr="00DB6C16">
        <w:rPr>
          <w:rFonts w:ascii="Times New Roman" w:eastAsia="Microsoft Sans Serif" w:hAnsi="Times New Roman" w:cs="Times New Roman"/>
          <w:b/>
          <w:i/>
          <w:color w:val="000000"/>
          <w:sz w:val="24"/>
          <w:szCs w:val="24"/>
          <w:lang w:bidi="ro-RO"/>
        </w:rPr>
        <w:lastRenderedPageBreak/>
        <w:t>eficientizarea utilizării îngră</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 xml:space="preserve">ămintelor </w:t>
      </w:r>
      <w:r w:rsidRPr="00DB6C16">
        <w:rPr>
          <w:rFonts w:ascii="Calibri" w:eastAsia="Microsoft Sans Serif" w:hAnsi="Calibri" w:cs="Times New Roman"/>
          <w:b/>
          <w:i/>
          <w:color w:val="000000"/>
          <w:sz w:val="24"/>
          <w:szCs w:val="24"/>
          <w:lang w:bidi="ro-RO"/>
        </w:rPr>
        <w:t>ș</w:t>
      </w:r>
      <w:r w:rsidRPr="00DB6C16">
        <w:rPr>
          <w:rFonts w:ascii="Times New Roman" w:eastAsia="Microsoft Sans Serif" w:hAnsi="Times New Roman" w:cs="Times New Roman"/>
          <w:b/>
          <w:i/>
          <w:color w:val="000000"/>
          <w:sz w:val="24"/>
          <w:szCs w:val="24"/>
          <w:lang w:bidi="ro-RO"/>
        </w:rPr>
        <w:t>i sporirea fertilită</w:t>
      </w:r>
      <w:r w:rsidRPr="00DB6C16">
        <w:rPr>
          <w:rFonts w:ascii="Calibri" w:eastAsia="Microsoft Sans Serif" w:hAnsi="Calibri" w:cs="Times New Roman"/>
          <w:b/>
          <w:i/>
          <w:color w:val="000000"/>
          <w:sz w:val="24"/>
          <w:szCs w:val="24"/>
          <w:lang w:bidi="ro-RO"/>
        </w:rPr>
        <w:t>ț</w:t>
      </w:r>
      <w:r w:rsidRPr="00DB6C16">
        <w:rPr>
          <w:rFonts w:ascii="Times New Roman" w:eastAsia="Microsoft Sans Serif" w:hAnsi="Times New Roman" w:cs="Times New Roman"/>
          <w:b/>
          <w:i/>
          <w:color w:val="000000"/>
          <w:sz w:val="24"/>
          <w:szCs w:val="24"/>
          <w:lang w:bidi="ro-RO"/>
        </w:rPr>
        <w:t>ii solului în agricultura durabilă</w:t>
      </w:r>
    </w:p>
    <w:p w14:paraId="3124835D" w14:textId="77777777" w:rsidR="00DB6C16" w:rsidRPr="00DB6C16" w:rsidRDefault="00DB6C16" w:rsidP="00DB6C16">
      <w:pPr>
        <w:keepNext/>
        <w:numPr>
          <w:ilvl w:val="0"/>
          <w:numId w:val="1"/>
        </w:numPr>
        <w:spacing w:after="120" w:line="240" w:lineRule="auto"/>
        <w:jc w:val="center"/>
        <w:outlineLvl w:val="0"/>
        <w:rPr>
          <w:rFonts w:ascii="Times New Roman" w:eastAsia="Calibri" w:hAnsi="Times New Roman" w:cs="Times New Roman"/>
          <w:bCs/>
          <w:kern w:val="32"/>
          <w:sz w:val="24"/>
          <w:szCs w:val="24"/>
          <w14:ligatures w14:val="none"/>
        </w:rPr>
      </w:pPr>
      <w:r w:rsidRPr="00DB6C16">
        <w:rPr>
          <w:rFonts w:ascii="Times New Roman" w:eastAsia="Calibri" w:hAnsi="Times New Roman" w:cs="Times New Roman"/>
          <w:kern w:val="0"/>
          <w:sz w:val="24"/>
          <w:szCs w:val="24"/>
          <w14:ligatures w14:val="none"/>
        </w:rPr>
        <w:t>Cifrul proiectului:</w:t>
      </w:r>
      <w:r w:rsidRPr="00DB6C16">
        <w:rPr>
          <w:rFonts w:ascii="Times New Roman" w:eastAsia="Calibri" w:hAnsi="Times New Roman" w:cs="Times New Roman"/>
          <w:b/>
          <w:kern w:val="0"/>
          <w:sz w:val="24"/>
          <w:szCs w:val="24"/>
          <w14:ligatures w14:val="none"/>
        </w:rPr>
        <w:t xml:space="preserve"> 20.80009.5107.25</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B6C16" w:rsidRPr="00DB6C16" w14:paraId="421F58A4" w14:textId="77777777" w:rsidTr="00DB6C16">
        <w:trPr>
          <w:trHeight w:val="780"/>
        </w:trPr>
        <w:tc>
          <w:tcPr>
            <w:tcW w:w="9558" w:type="dxa"/>
            <w:tcBorders>
              <w:top w:val="single" w:sz="4" w:space="0" w:color="auto"/>
              <w:left w:val="single" w:sz="4" w:space="0" w:color="auto"/>
              <w:bottom w:val="single" w:sz="4" w:space="0" w:color="auto"/>
              <w:right w:val="single" w:sz="4" w:space="0" w:color="auto"/>
            </w:tcBorders>
            <w:hideMark/>
          </w:tcPr>
          <w:p w14:paraId="60D061AC" w14:textId="77777777" w:rsidR="00DB6C16" w:rsidRPr="00DB6C16" w:rsidRDefault="00DB6C16" w:rsidP="00DB6C16">
            <w:pPr>
              <w:spacing w:after="0" w:line="240" w:lineRule="auto"/>
              <w:jc w:val="both"/>
              <w:rPr>
                <w:rFonts w:ascii="Times New Roman" w:eastAsia="Calibri" w:hAnsi="Times New Roman" w:cs="Times New Roman"/>
                <w:kern w:val="0"/>
                <w:sz w:val="24"/>
                <w:szCs w:val="24"/>
                <w:lang w:val="en-GB"/>
                <w14:ligatures w14:val="none"/>
              </w:rPr>
            </w:pPr>
            <w:r w:rsidRPr="00DB6C16">
              <w:rPr>
                <w:rFonts w:ascii="Times New Roman" w:eastAsia="Calibri" w:hAnsi="Times New Roman" w:cs="Times New Roman"/>
                <w:b/>
                <w:i/>
                <w:kern w:val="0"/>
                <w:sz w:val="24"/>
                <w:szCs w:val="24"/>
                <w:lang w:val="en-GB"/>
                <w14:ligatures w14:val="none"/>
              </w:rPr>
              <w:t>Summary:</w:t>
            </w:r>
            <w:r w:rsidRPr="00DB6C16">
              <w:rPr>
                <w:rFonts w:ascii="Times New Roman" w:eastAsia="Calibri" w:hAnsi="Times New Roman" w:cs="Times New Roman"/>
                <w:i/>
                <w:kern w:val="0"/>
                <w:sz w:val="24"/>
                <w:szCs w:val="24"/>
                <w:lang w:val="en-GB"/>
                <w14:ligatures w14:val="none"/>
              </w:rPr>
              <w:t xml:space="preserve"> The aim of the project</w:t>
            </w:r>
            <w:r w:rsidRPr="00DB6C16">
              <w:rPr>
                <w:rFonts w:ascii="Times New Roman" w:eastAsia="Calibri" w:hAnsi="Times New Roman" w:cs="Times New Roman"/>
                <w:kern w:val="0"/>
                <w:sz w:val="24"/>
                <w:szCs w:val="24"/>
                <w:lang w:val="en-GB"/>
                <w14:ligatures w14:val="none"/>
              </w:rPr>
              <w:t xml:space="preserve">: to determine the balance of humus and nutrients in </w:t>
            </w:r>
            <w:smartTag w:uri="urn:schemas-microsoft-com:office:smarttags" w:element="place">
              <w:smartTag w:uri="urn:schemas-microsoft-com:office:smarttags" w:element="country-region">
                <w:r w:rsidRPr="00DB6C16">
                  <w:rPr>
                    <w:rFonts w:ascii="Times New Roman" w:eastAsia="Calibri" w:hAnsi="Times New Roman" w:cs="Times New Roman"/>
                    <w:kern w:val="0"/>
                    <w:sz w:val="24"/>
                    <w:szCs w:val="24"/>
                    <w:lang w:val="en-GB"/>
                    <w14:ligatures w14:val="none"/>
                  </w:rPr>
                  <w:t>Moldova</w:t>
                </w:r>
              </w:smartTag>
            </w:smartTag>
            <w:r w:rsidRPr="00DB6C16">
              <w:rPr>
                <w:rFonts w:ascii="Times New Roman" w:eastAsia="Calibri" w:hAnsi="Times New Roman" w:cs="Times New Roman"/>
                <w:kern w:val="0"/>
                <w:sz w:val="24"/>
                <w:szCs w:val="24"/>
                <w:lang w:val="en-GB"/>
                <w14:ligatures w14:val="none"/>
              </w:rPr>
              <w:t xml:space="preserve">'s agriculture and in crop rotations from long-term experiences. When calculating the balance, statistical data were used regarding the areas and harvests of agricultural crops, the administration of mineral and organic fertilizers in the period 1991-2020. According to the experiments, the objects of study were: the gray forest soil and leached chernozem from the long-term resorts in Ivancea commune, Orhei district and the carbonate chernozem from Grigorievca commune, Căuşeni district; field rotations with the following crops: winter wheat, grain corn, sunflower and grain legumes; organic waste: wine yeasts, grain wort, vinasse, dehydrated sludge in geotubes, mixed manure and unfermented straw in 4 field experiences. </w:t>
            </w:r>
          </w:p>
          <w:p w14:paraId="353FE9FD" w14:textId="77777777" w:rsidR="00DB6C16" w:rsidRPr="00DB6C16" w:rsidRDefault="00DB6C16" w:rsidP="00DB6C16">
            <w:pPr>
              <w:spacing w:after="0" w:line="240" w:lineRule="auto"/>
              <w:jc w:val="both"/>
              <w:rPr>
                <w:rFonts w:ascii="Times New Roman" w:eastAsia="Calibri" w:hAnsi="Times New Roman" w:cs="Times New Roman"/>
                <w:kern w:val="0"/>
                <w:sz w:val="24"/>
                <w:szCs w:val="24"/>
                <w:lang w:val="en-GB"/>
                <w14:ligatures w14:val="none"/>
              </w:rPr>
            </w:pPr>
            <w:r w:rsidRPr="00DB6C16">
              <w:rPr>
                <w:rFonts w:ascii="Times New Roman" w:eastAsia="Calibri" w:hAnsi="Times New Roman" w:cs="Times New Roman"/>
                <w:i/>
                <w:kern w:val="0"/>
                <w:sz w:val="24"/>
                <w:szCs w:val="24"/>
                <w:lang w:val="en-GB"/>
                <w14:ligatures w14:val="none"/>
              </w:rPr>
              <w:t>The objectives</w:t>
            </w:r>
            <w:r w:rsidRPr="00DB6C16">
              <w:rPr>
                <w:rFonts w:ascii="Times New Roman" w:eastAsia="Calibri" w:hAnsi="Times New Roman" w:cs="Times New Roman"/>
                <w:kern w:val="0"/>
                <w:sz w:val="24"/>
                <w:szCs w:val="24"/>
                <w:lang w:val="en-GB"/>
                <w14:ligatures w14:val="none"/>
              </w:rPr>
              <w:t xml:space="preserve"> of the investigations for the years 2020-2023: to determine the balance of nutritional elements in the long-term experiences at the level of culture, rotation according to soil, culture, rate and type of fertilizers. Evaluation of the circuit of biophilic elements in agriculture by crops, branch, total by country during the years 1990-</w:t>
            </w:r>
            <w:smartTag w:uri="urn:schemas-microsoft-com:office:smarttags" w:element="metricconverter">
              <w:smartTagPr>
                <w:attr w:name="ProductID" w:val="2020 in"/>
              </w:smartTagPr>
              <w:r w:rsidRPr="00DB6C16">
                <w:rPr>
                  <w:rFonts w:ascii="Times New Roman" w:eastAsia="Calibri" w:hAnsi="Times New Roman" w:cs="Times New Roman"/>
                  <w:kern w:val="0"/>
                  <w:sz w:val="24"/>
                  <w:szCs w:val="24"/>
                  <w:lang w:val="en-GB"/>
                  <w14:ligatures w14:val="none"/>
                </w:rPr>
                <w:t>2020 in</w:t>
              </w:r>
            </w:smartTag>
            <w:r w:rsidRPr="00DB6C16">
              <w:rPr>
                <w:rFonts w:ascii="Times New Roman" w:eastAsia="Calibri" w:hAnsi="Times New Roman" w:cs="Times New Roman"/>
                <w:kern w:val="0"/>
                <w:sz w:val="24"/>
                <w:szCs w:val="24"/>
                <w:lang w:val="en-GB"/>
                <w14:ligatures w14:val="none"/>
              </w:rPr>
              <w:t xml:space="preserve"> </w:t>
            </w:r>
            <w:smartTag w:uri="urn:schemas-microsoft-com:office:smarttags" w:element="country-region">
              <w:smartTag w:uri="urn:schemas-microsoft-com:office:smarttags" w:element="place">
                <w:r w:rsidRPr="00DB6C16">
                  <w:rPr>
                    <w:rFonts w:ascii="Times New Roman" w:eastAsia="Calibri" w:hAnsi="Times New Roman" w:cs="Times New Roman"/>
                    <w:kern w:val="0"/>
                    <w:sz w:val="24"/>
                    <w:szCs w:val="24"/>
                    <w:lang w:val="en-GB"/>
                    <w14:ligatures w14:val="none"/>
                  </w:rPr>
                  <w:t>Moldova</w:t>
                </w:r>
              </w:smartTag>
            </w:smartTag>
            <w:r w:rsidRPr="00DB6C16">
              <w:rPr>
                <w:rFonts w:ascii="Times New Roman" w:eastAsia="Calibri" w:hAnsi="Times New Roman" w:cs="Times New Roman"/>
                <w:kern w:val="0"/>
                <w:sz w:val="24"/>
                <w:szCs w:val="24"/>
                <w:lang w:val="en-GB"/>
                <w14:ligatures w14:val="none"/>
              </w:rPr>
              <w:t>. Comparative analysis of balance sheet data from long-term experiences and those from production and evaluation of the current state of soil fertility. The development of models and methods for the formation of a balanced balance of biophilic elements for the improvement of the fertilization systems of agricultural crops and the efficiency of the use of fertilizers and the increase of soil fertility in sustainable agriculture.</w:t>
            </w:r>
          </w:p>
          <w:p w14:paraId="700054F7" w14:textId="77777777" w:rsidR="00DB6C16" w:rsidRPr="00DB6C16" w:rsidRDefault="00DB6C16" w:rsidP="00DB6C16">
            <w:pPr>
              <w:spacing w:after="0" w:line="240" w:lineRule="auto"/>
              <w:jc w:val="both"/>
              <w:rPr>
                <w:rFonts w:ascii="Times New Roman" w:eastAsia="Calibri" w:hAnsi="Times New Roman" w:cs="Times New Roman"/>
                <w:kern w:val="0"/>
                <w:sz w:val="24"/>
                <w:szCs w:val="24"/>
                <w:lang w:val="en-GB"/>
                <w14:ligatures w14:val="none"/>
              </w:rPr>
            </w:pPr>
            <w:r w:rsidRPr="00DB6C16">
              <w:rPr>
                <w:rFonts w:ascii="Times New Roman" w:eastAsia="Calibri" w:hAnsi="Times New Roman" w:cs="Times New Roman"/>
                <w:kern w:val="0"/>
                <w:sz w:val="24"/>
                <w:szCs w:val="24"/>
                <w:lang w:val="en-GB"/>
                <w14:ligatures w14:val="none"/>
              </w:rPr>
              <w:t>The balance of humus, nitrogen, phosphorus and potassium was calculated on crops and fields, depending on the system and fertilization rate applied in the period 1991-</w:t>
            </w:r>
            <w:smartTag w:uri="urn:schemas-microsoft-com:office:smarttags" w:element="metricconverter">
              <w:smartTagPr>
                <w:attr w:name="ProductID" w:val="2020 in"/>
              </w:smartTagPr>
              <w:r w:rsidRPr="00DB6C16">
                <w:rPr>
                  <w:rFonts w:ascii="Times New Roman" w:eastAsia="Calibri" w:hAnsi="Times New Roman" w:cs="Times New Roman"/>
                  <w:kern w:val="0"/>
                  <w:sz w:val="24"/>
                  <w:szCs w:val="24"/>
                  <w:lang w:val="en-GB"/>
                  <w14:ligatures w14:val="none"/>
                </w:rPr>
                <w:t>2020 in</w:t>
              </w:r>
            </w:smartTag>
            <w:r w:rsidRPr="00DB6C16">
              <w:rPr>
                <w:rFonts w:ascii="Times New Roman" w:eastAsia="Calibri" w:hAnsi="Times New Roman" w:cs="Times New Roman"/>
                <w:kern w:val="0"/>
                <w:sz w:val="24"/>
                <w:szCs w:val="24"/>
                <w:lang w:val="en-GB"/>
                <w14:ligatures w14:val="none"/>
              </w:rPr>
              <w:t xml:space="preserve"> 14 field experiments on gray forest soil; leached, carbonate and ordinary chernozem. The balance was determined by crops, total in rotation, field, type and subtype of soil and organic waste. It was established that the organo-mineral fertilization system ensures a balanced balance of NPK and humus in the field rotations on gray forest soil and leached chernozem at low and moderate rates of fertilizers, and the mineral system only at high rates of fertilizer application.</w:t>
            </w:r>
          </w:p>
          <w:p w14:paraId="57C88190" w14:textId="77777777" w:rsidR="00DB6C16" w:rsidRPr="00DB6C16" w:rsidRDefault="00DB6C16" w:rsidP="00DB6C16">
            <w:pPr>
              <w:spacing w:after="0" w:line="240" w:lineRule="auto"/>
              <w:jc w:val="both"/>
              <w:rPr>
                <w:rFonts w:ascii="Times New Roman" w:eastAsia="Times New Roman" w:hAnsi="Times New Roman" w:cs="Times New Roman"/>
                <w:b/>
                <w:i/>
                <w:kern w:val="0"/>
                <w:sz w:val="24"/>
                <w:szCs w:val="24"/>
                <w:lang w:eastAsia="ru-RU"/>
                <w14:ligatures w14:val="none"/>
              </w:rPr>
            </w:pPr>
            <w:r w:rsidRPr="00DB6C16">
              <w:rPr>
                <w:rFonts w:ascii="Times New Roman" w:eastAsia="Calibri" w:hAnsi="Times New Roman" w:cs="Times New Roman"/>
                <w:kern w:val="0"/>
                <w:sz w:val="24"/>
                <w:szCs w:val="24"/>
                <w:lang w:val="en-GB"/>
                <w14:ligatures w14:val="none"/>
              </w:rPr>
              <w:t xml:space="preserve">  On the entire assessed surface of </w:t>
            </w:r>
            <w:smartTag w:uri="urn:schemas-microsoft-com:office:smarttags" w:element="metricconverter">
              <w:smartTagPr>
                <w:attr w:name="ProductID" w:val="1,771 ha"/>
              </w:smartTagPr>
              <w:r w:rsidRPr="00DB6C16">
                <w:rPr>
                  <w:rFonts w:ascii="Times New Roman" w:eastAsia="Calibri" w:hAnsi="Times New Roman" w:cs="Times New Roman"/>
                  <w:kern w:val="0"/>
                  <w:sz w:val="24"/>
                  <w:szCs w:val="24"/>
                  <w:lang w:val="en-GB"/>
                  <w14:ligatures w14:val="none"/>
                </w:rPr>
                <w:t>1,771 ha</w:t>
              </w:r>
            </w:smartTag>
            <w:r w:rsidRPr="00DB6C16">
              <w:rPr>
                <w:rFonts w:ascii="Times New Roman" w:eastAsia="Calibri" w:hAnsi="Times New Roman" w:cs="Times New Roman"/>
                <w:kern w:val="0"/>
                <w:sz w:val="24"/>
                <w:szCs w:val="24"/>
                <w:lang w:val="en-GB"/>
                <w14:ligatures w14:val="none"/>
              </w:rPr>
              <w:t xml:space="preserve">, the average annual balance of humus for the period 1991-2020 is negative, about -840 kg/ha, and for arable land -969 kg/ha. In total, during this period, approximately 25.2 t/ha of organic matter was lost per </w:t>
            </w:r>
            <w:smartTag w:uri="urn:schemas-microsoft-com:office:smarttags" w:element="metricconverter">
              <w:smartTagPr>
                <w:attr w:name="ProductID" w:val="1 ha"/>
              </w:smartTagPr>
              <w:r w:rsidRPr="00DB6C16">
                <w:rPr>
                  <w:rFonts w:ascii="Times New Roman" w:eastAsia="Calibri" w:hAnsi="Times New Roman" w:cs="Times New Roman"/>
                  <w:kern w:val="0"/>
                  <w:sz w:val="24"/>
                  <w:szCs w:val="24"/>
                  <w:lang w:val="en-GB"/>
                  <w14:ligatures w14:val="none"/>
                </w:rPr>
                <w:t>1 ha</w:t>
              </w:r>
            </w:smartTag>
            <w:r w:rsidRPr="00DB6C16">
              <w:rPr>
                <w:rFonts w:ascii="Times New Roman" w:eastAsia="Calibri" w:hAnsi="Times New Roman" w:cs="Times New Roman"/>
                <w:kern w:val="0"/>
                <w:sz w:val="24"/>
                <w:szCs w:val="24"/>
                <w:lang w:val="en-GB"/>
                <w14:ligatures w14:val="none"/>
              </w:rPr>
              <w:t xml:space="preserve"> of agricultural land. As a result of the research, it was established that the basic crops: winter wheat, grain corn and sunflower exported from the soil approx. 68-87 kg/ha of nitrogen, 22-24 kg/ha of phosphorus and 50-85 kg/ha of potassium. During this period, under these crops, only 10-</w:t>
            </w:r>
            <w:smartTag w:uri="urn:schemas-microsoft-com:office:smarttags" w:element="metricconverter">
              <w:smartTagPr>
                <w:attr w:name="ProductID" w:val="37 kg"/>
              </w:smartTagPr>
              <w:r w:rsidRPr="00DB6C16">
                <w:rPr>
                  <w:rFonts w:ascii="Times New Roman" w:eastAsia="Calibri" w:hAnsi="Times New Roman" w:cs="Times New Roman"/>
                  <w:kern w:val="0"/>
                  <w:sz w:val="24"/>
                  <w:szCs w:val="24"/>
                  <w:lang w:val="en-GB"/>
                  <w14:ligatures w14:val="none"/>
                </w:rPr>
                <w:t>37 kg</w:t>
              </w:r>
            </w:smartTag>
            <w:r w:rsidRPr="00DB6C16">
              <w:rPr>
                <w:rFonts w:ascii="Times New Roman" w:eastAsia="Calibri" w:hAnsi="Times New Roman" w:cs="Times New Roman"/>
                <w:kern w:val="0"/>
                <w:sz w:val="24"/>
                <w:szCs w:val="24"/>
                <w:lang w:val="en-GB"/>
                <w14:ligatures w14:val="none"/>
              </w:rPr>
              <w:t xml:space="preserve"> of nitrogen, 7-</w:t>
            </w:r>
            <w:smartTag w:uri="urn:schemas-microsoft-com:office:smarttags" w:element="metricconverter">
              <w:smartTagPr>
                <w:attr w:name="ProductID" w:val="8 kg"/>
              </w:smartTagPr>
              <w:r w:rsidRPr="00DB6C16">
                <w:rPr>
                  <w:rFonts w:ascii="Times New Roman" w:eastAsia="Calibri" w:hAnsi="Times New Roman" w:cs="Times New Roman"/>
                  <w:kern w:val="0"/>
                  <w:sz w:val="24"/>
                  <w:szCs w:val="24"/>
                  <w:lang w:val="en-GB"/>
                  <w14:ligatures w14:val="none"/>
                </w:rPr>
                <w:t>8 kg</w:t>
              </w:r>
            </w:smartTag>
            <w:r w:rsidRPr="00DB6C16">
              <w:rPr>
                <w:rFonts w:ascii="Times New Roman" w:eastAsia="Calibri" w:hAnsi="Times New Roman" w:cs="Times New Roman"/>
                <w:kern w:val="0"/>
                <w:sz w:val="24"/>
                <w:szCs w:val="24"/>
                <w:lang w:val="en-GB"/>
                <w14:ligatures w14:val="none"/>
              </w:rPr>
              <w:t xml:space="preserve"> of phosphorus and 4-5 kg/ha of potassium were applied annually. As a result, the balance of nutrients on average over 30 years was negative, constituting respectively: nitrogen - -50...-58 kg/ha, phosphorus - -15...-18 kg/ha and potassium - -47. ..-82 kg/ha. In the period 1991-</w:t>
            </w:r>
            <w:smartTag w:uri="urn:schemas-microsoft-com:office:smarttags" w:element="metricconverter">
              <w:smartTagPr>
                <w:attr w:name="ProductID" w:val="2020, in"/>
              </w:smartTagPr>
              <w:r w:rsidRPr="00DB6C16">
                <w:rPr>
                  <w:rFonts w:ascii="Times New Roman" w:eastAsia="Calibri" w:hAnsi="Times New Roman" w:cs="Times New Roman"/>
                  <w:kern w:val="0"/>
                  <w:sz w:val="24"/>
                  <w:szCs w:val="24"/>
                  <w:lang w:val="en-GB"/>
                  <w14:ligatures w14:val="none"/>
                </w:rPr>
                <w:t>2020, in</w:t>
              </w:r>
            </w:smartTag>
            <w:r w:rsidRPr="00DB6C16">
              <w:rPr>
                <w:rFonts w:ascii="Times New Roman" w:eastAsia="Calibri" w:hAnsi="Times New Roman" w:cs="Times New Roman"/>
                <w:kern w:val="0"/>
                <w:sz w:val="24"/>
                <w:szCs w:val="24"/>
                <w:lang w:val="en-GB"/>
                <w14:ligatures w14:val="none"/>
              </w:rPr>
              <w:t xml:space="preserve"> total, approx. 2.0-2.6 t/ha of nitrogen, 0.66-0.68 t/ha of phosphorus and 1.6-2.6 t/ha were extracted from the soil of potassium, but only 0.3-1.1 t/ha of nitrogen, 0.2-0.3 of phosphorus and 0.11-0.14 t/ha of potassium were administered. As a result, the balance was negative, respectively: -1.5...-1.74 t/ha nitrogen, 0.4-0.55 t/ha phosphorus and 1.4-2.45 t/ha potassium.</w:t>
            </w:r>
          </w:p>
        </w:tc>
      </w:tr>
    </w:tbl>
    <w:p w14:paraId="62195A4A" w14:textId="77777777" w:rsidR="00D249F6" w:rsidRDefault="00D249F6"/>
    <w:sectPr w:rsidR="00D249F6" w:rsidSect="00683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6850"/>
    <w:multiLevelType w:val="hybridMultilevel"/>
    <w:tmpl w:val="8E18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3525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77"/>
    <w:rsid w:val="003B04D5"/>
    <w:rsid w:val="0068373F"/>
    <w:rsid w:val="00A96477"/>
    <w:rsid w:val="00D249F6"/>
    <w:rsid w:val="00DB6C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343C2D-1E3E-4913-BCA5-431FA23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6627</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2024-01-15T11:59:00Z</dcterms:created>
  <dcterms:modified xsi:type="dcterms:W3CDTF">2024-01-15T11:59:00Z</dcterms:modified>
</cp:coreProperties>
</file>