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E7B" w:rsidRDefault="00F01E7B" w:rsidP="00F01E7B">
      <w:pPr>
        <w:keepNext/>
        <w:spacing w:after="120" w:line="276" w:lineRule="auto"/>
        <w:jc w:val="center"/>
        <w:outlineLvl w:val="0"/>
        <w:rPr>
          <w:rFonts w:ascii="Times New Roman" w:hAnsi="Times New Roman"/>
          <w:b/>
          <w:bCs/>
          <w:kern w:val="32"/>
          <w:sz w:val="24"/>
          <w:szCs w:val="24"/>
          <w:lang w:val="ro-MD"/>
        </w:rPr>
      </w:pPr>
      <w:bookmarkStart w:id="0" w:name="_GoBack"/>
      <w:bookmarkEnd w:id="0"/>
      <w:r>
        <w:rPr>
          <w:rFonts w:ascii="Times New Roman" w:hAnsi="Times New Roman"/>
          <w:b/>
          <w:bCs/>
          <w:kern w:val="32"/>
          <w:sz w:val="24"/>
          <w:szCs w:val="24"/>
          <w:lang w:val="ro-MD"/>
        </w:rPr>
        <w:t xml:space="preserve">Rezumatul activității și a rezultatelor obținute în proiect perioada 2020-2023 </w:t>
      </w:r>
    </w:p>
    <w:p w:rsidR="00F01E7B" w:rsidRDefault="00F01E7B" w:rsidP="00F01E7B">
      <w:pPr>
        <w:keepNext/>
        <w:spacing w:after="120" w:line="276" w:lineRule="auto"/>
        <w:jc w:val="center"/>
        <w:outlineLvl w:val="0"/>
        <w:rPr>
          <w:rFonts w:ascii="Times New Roman" w:hAnsi="Times New Roman"/>
          <w:bCs/>
          <w:kern w:val="32"/>
          <w:sz w:val="24"/>
          <w:szCs w:val="24"/>
          <w:lang w:val="ro-MD"/>
        </w:rPr>
      </w:pPr>
      <w:r>
        <w:rPr>
          <w:rFonts w:ascii="Times New Roman" w:hAnsi="Times New Roman"/>
          <w:bCs/>
          <w:kern w:val="32"/>
          <w:sz w:val="24"/>
          <w:szCs w:val="24"/>
          <w:lang w:val="ro-MD"/>
        </w:rPr>
        <w:t>Managementul agroecologic a agroecosistemelor cu culturi de câmp adaptat la provocările agriculturii moderne din Republica Moldova”</w:t>
      </w:r>
    </w:p>
    <w:p w:rsidR="00F01E7B" w:rsidRDefault="00F01E7B" w:rsidP="00F01E7B">
      <w:pPr>
        <w:keepNext/>
        <w:spacing w:after="120" w:line="276" w:lineRule="auto"/>
        <w:outlineLvl w:val="0"/>
        <w:rPr>
          <w:rFonts w:ascii="Times New Roman" w:hAnsi="Times New Roman"/>
          <w:bCs/>
          <w:kern w:val="32"/>
          <w:sz w:val="24"/>
          <w:szCs w:val="24"/>
          <w:lang w:val="ro-MD"/>
        </w:rPr>
      </w:pPr>
      <w:r>
        <w:rPr>
          <w:rFonts w:ascii="Times New Roman" w:hAnsi="Times New Roman"/>
          <w:b/>
          <w:sz w:val="24"/>
          <w:szCs w:val="24"/>
          <w:lang w:val="ro-MD"/>
        </w:rPr>
        <w:t xml:space="preserve">Cifrul proiectului </w:t>
      </w:r>
      <w:r>
        <w:rPr>
          <w:rFonts w:ascii="Times New Roman" w:hAnsi="Times New Roman"/>
          <w:bCs/>
          <w:sz w:val="24"/>
          <w:szCs w:val="24"/>
          <w:lang w:val="ro-MD"/>
        </w:rPr>
        <w:t>20.80000.5107.23</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F01E7B" w:rsidTr="00F01E7B">
        <w:tc>
          <w:tcPr>
            <w:tcW w:w="9558" w:type="dxa"/>
            <w:tcBorders>
              <w:top w:val="single" w:sz="4" w:space="0" w:color="auto"/>
              <w:left w:val="single" w:sz="4" w:space="0" w:color="auto"/>
              <w:bottom w:val="single" w:sz="4" w:space="0" w:color="auto"/>
              <w:right w:val="single" w:sz="4" w:space="0" w:color="auto"/>
            </w:tcBorders>
            <w:shd w:val="clear" w:color="auto" w:fill="FFFFFF"/>
            <w:hideMark/>
          </w:tcPr>
          <w:p w:rsidR="00F01E7B" w:rsidRDefault="00F01E7B">
            <w:pPr>
              <w:spacing w:after="0" w:line="276" w:lineRule="auto"/>
              <w:ind w:firstLine="720"/>
              <w:jc w:val="both"/>
              <w:rPr>
                <w:rFonts w:ascii="Times New Roman" w:hAnsi="Times New Roman"/>
                <w:color w:val="262626"/>
                <w:w w:val="105"/>
                <w:sz w:val="24"/>
                <w:szCs w:val="24"/>
                <w:lang w:val="ro-MD"/>
              </w:rPr>
            </w:pPr>
            <w:r>
              <w:rPr>
                <w:rFonts w:ascii="Times New Roman" w:hAnsi="Times New Roman"/>
                <w:color w:val="262626"/>
                <w:w w:val="105"/>
                <w:sz w:val="24"/>
                <w:szCs w:val="24"/>
                <w:lang w:val="ro-MD"/>
              </w:rPr>
              <w:t>Cercetările în cadrul proiectului au fost efectuate în experiențe de câmp de lungă durată, fondate în 1962 și ulteriorii ani, cu studierea:</w:t>
            </w:r>
          </w:p>
          <w:p w:rsidR="00F01E7B" w:rsidRDefault="00F01E7B" w:rsidP="00C81D1A">
            <w:pPr>
              <w:pStyle w:val="ListParagraph"/>
              <w:widowControl w:val="0"/>
              <w:numPr>
                <w:ilvl w:val="0"/>
                <w:numId w:val="1"/>
              </w:numPr>
              <w:autoSpaceDE w:val="0"/>
              <w:autoSpaceDN w:val="0"/>
              <w:spacing w:after="0" w:line="276" w:lineRule="auto"/>
              <w:ind w:left="0" w:firstLine="720"/>
              <w:jc w:val="both"/>
              <w:rPr>
                <w:rFonts w:ascii="Times New Roman" w:hAnsi="Times New Roman"/>
                <w:color w:val="262626"/>
                <w:w w:val="105"/>
                <w:sz w:val="24"/>
                <w:szCs w:val="24"/>
                <w:lang w:val="ro-MD"/>
              </w:rPr>
            </w:pPr>
            <w:r>
              <w:rPr>
                <w:rFonts w:ascii="Times New Roman" w:hAnsi="Times New Roman"/>
                <w:color w:val="262626"/>
                <w:w w:val="105"/>
                <w:sz w:val="24"/>
                <w:szCs w:val="24"/>
                <w:lang w:val="ro-MD"/>
              </w:rPr>
              <w:t>rolului biodiversității culturilor de câmp prin determinarea efectului asolamentului și efectului fertilizării în asolament și în cultura permanentă;</w:t>
            </w:r>
          </w:p>
          <w:p w:rsidR="00F01E7B" w:rsidRDefault="00F01E7B" w:rsidP="00C81D1A">
            <w:pPr>
              <w:pStyle w:val="ListParagraph"/>
              <w:widowControl w:val="0"/>
              <w:numPr>
                <w:ilvl w:val="0"/>
                <w:numId w:val="1"/>
              </w:numPr>
              <w:autoSpaceDE w:val="0"/>
              <w:autoSpaceDN w:val="0"/>
              <w:spacing w:after="0" w:line="276" w:lineRule="auto"/>
              <w:ind w:left="0" w:firstLine="720"/>
              <w:jc w:val="both"/>
              <w:rPr>
                <w:rFonts w:ascii="Times New Roman" w:hAnsi="Times New Roman"/>
                <w:color w:val="262626"/>
                <w:w w:val="105"/>
                <w:sz w:val="24"/>
                <w:szCs w:val="24"/>
                <w:lang w:val="ro-MD"/>
              </w:rPr>
            </w:pPr>
            <w:r>
              <w:rPr>
                <w:rFonts w:ascii="Times New Roman" w:hAnsi="Times New Roman"/>
                <w:color w:val="262626"/>
                <w:w w:val="105"/>
                <w:sz w:val="24"/>
                <w:szCs w:val="24"/>
                <w:lang w:val="ro-MD"/>
              </w:rPr>
              <w:t>acțiunii și interacțiunii rotației culturilor, diferitor sisteme de lucrare și fertilizare a solului în asolament, fără aplicarea mijloacelor chimice de combatere a „</w:t>
            </w:r>
            <w:r>
              <w:rPr>
                <w:rFonts w:ascii="Times New Roman" w:hAnsi="Times New Roman"/>
                <w:i/>
                <w:color w:val="262626"/>
                <w:w w:val="105"/>
                <w:sz w:val="24"/>
                <w:szCs w:val="24"/>
                <w:lang w:val="ro-MD"/>
              </w:rPr>
              <w:t>bolilor, dăunătorilor și buruienilor</w:t>
            </w:r>
            <w:r>
              <w:rPr>
                <w:rFonts w:ascii="Times New Roman" w:hAnsi="Times New Roman"/>
                <w:color w:val="262626"/>
                <w:w w:val="105"/>
                <w:sz w:val="24"/>
                <w:szCs w:val="24"/>
                <w:lang w:val="ro-MD"/>
              </w:rPr>
              <w:t>”;</w:t>
            </w:r>
          </w:p>
          <w:p w:rsidR="00F01E7B" w:rsidRDefault="00F01E7B" w:rsidP="00C81D1A">
            <w:pPr>
              <w:pStyle w:val="ListParagraph"/>
              <w:widowControl w:val="0"/>
              <w:numPr>
                <w:ilvl w:val="0"/>
                <w:numId w:val="1"/>
              </w:numPr>
              <w:autoSpaceDE w:val="0"/>
              <w:autoSpaceDN w:val="0"/>
              <w:spacing w:after="0" w:line="276" w:lineRule="auto"/>
              <w:ind w:left="0" w:firstLine="720"/>
              <w:jc w:val="both"/>
              <w:rPr>
                <w:rFonts w:ascii="Times New Roman" w:hAnsi="Times New Roman"/>
                <w:color w:val="262626"/>
                <w:w w:val="105"/>
                <w:sz w:val="24"/>
                <w:szCs w:val="24"/>
                <w:lang w:val="ro-MD"/>
              </w:rPr>
            </w:pPr>
            <w:r>
              <w:rPr>
                <w:rFonts w:ascii="Times New Roman" w:hAnsi="Times New Roman"/>
                <w:color w:val="262626"/>
                <w:w w:val="105"/>
                <w:sz w:val="24"/>
                <w:szCs w:val="24"/>
                <w:lang w:val="ro-MD"/>
              </w:rPr>
              <w:t>efectului diferitor sisteme de fertilizare a culturilor în asolament;</w:t>
            </w:r>
          </w:p>
          <w:p w:rsidR="00F01E7B" w:rsidRDefault="00F01E7B" w:rsidP="00C81D1A">
            <w:pPr>
              <w:pStyle w:val="ListParagraph"/>
              <w:widowControl w:val="0"/>
              <w:numPr>
                <w:ilvl w:val="0"/>
                <w:numId w:val="1"/>
              </w:numPr>
              <w:autoSpaceDE w:val="0"/>
              <w:autoSpaceDN w:val="0"/>
              <w:spacing w:after="0" w:line="276" w:lineRule="auto"/>
              <w:ind w:left="0" w:firstLine="720"/>
              <w:jc w:val="both"/>
              <w:rPr>
                <w:rFonts w:ascii="Times New Roman" w:hAnsi="Times New Roman"/>
                <w:color w:val="262626"/>
                <w:w w:val="105"/>
                <w:sz w:val="24"/>
                <w:szCs w:val="24"/>
                <w:lang w:val="ro-MD"/>
              </w:rPr>
            </w:pPr>
            <w:r>
              <w:rPr>
                <w:rFonts w:ascii="Times New Roman" w:hAnsi="Times New Roman"/>
                <w:color w:val="262626"/>
                <w:w w:val="105"/>
                <w:sz w:val="24"/>
                <w:szCs w:val="24"/>
                <w:lang w:val="ro-MD"/>
              </w:rPr>
              <w:t>efectului irigării și fertilizării în asolament.</w:t>
            </w:r>
          </w:p>
          <w:p w:rsidR="00F01E7B" w:rsidRDefault="00F01E7B">
            <w:pPr>
              <w:spacing w:after="0" w:line="276" w:lineRule="auto"/>
              <w:ind w:firstLine="720"/>
              <w:jc w:val="both"/>
              <w:rPr>
                <w:rFonts w:ascii="Times New Roman" w:hAnsi="Times New Roman"/>
                <w:sz w:val="24"/>
                <w:szCs w:val="24"/>
                <w:lang w:val="ro-MD"/>
              </w:rPr>
            </w:pPr>
            <w:r>
              <w:rPr>
                <w:rFonts w:ascii="Times New Roman" w:hAnsi="Times New Roman"/>
                <w:sz w:val="24"/>
                <w:szCs w:val="24"/>
                <w:lang w:val="ro-MD"/>
              </w:rPr>
              <w:t xml:space="preserve">Efectul asolamentului (diferența în nivelul de producție obținut în asolament și în cultura permanentă) și a fertilizării (diferența în nivelul de producție pe fond fertilizat și nefertilizat) au fost determinate pentru diferite culturi.  Cu cât diversitatea culturilor în asolament este mai mare cu atât efectul fertilizării este mai mic și invers, cu cât diversitatea  culturilor  este mai mică, în deosebi  în cultura  permanentă, cu atât efectul fertilizării  este  mai  mare. Efectul asolamentului este  mai  mare pe fond  nefertilizat  și scade considerabil pe fond fertilizat, dar rămâne destul de înalt. Diversitatea culturilor în asolament este crucială pentru funcționalitatea ecosistemului solului și determină sănătatea lui. </w:t>
            </w:r>
          </w:p>
          <w:p w:rsidR="00F01E7B" w:rsidRDefault="00F01E7B">
            <w:pPr>
              <w:spacing w:after="0" w:line="276" w:lineRule="auto"/>
              <w:ind w:firstLine="720"/>
              <w:jc w:val="both"/>
              <w:rPr>
                <w:rFonts w:ascii="Times New Roman" w:hAnsi="Times New Roman"/>
                <w:sz w:val="24"/>
                <w:szCs w:val="24"/>
                <w:lang w:val="ro-MD"/>
              </w:rPr>
            </w:pPr>
            <w:r>
              <w:rPr>
                <w:rFonts w:ascii="Times New Roman" w:hAnsi="Times New Roman"/>
                <w:sz w:val="24"/>
                <w:szCs w:val="24"/>
                <w:lang w:val="ro-MD"/>
              </w:rPr>
              <w:tab/>
              <w:t>Prin</w:t>
            </w:r>
            <w:r>
              <w:rPr>
                <w:rFonts w:ascii="Times New Roman" w:hAnsi="Times New Roman"/>
                <w:sz w:val="24"/>
                <w:szCs w:val="24"/>
                <w:lang w:val="ro-MD"/>
              </w:rPr>
              <w:tab/>
              <w:t>respectarea</w:t>
            </w:r>
            <w:r>
              <w:rPr>
                <w:rFonts w:ascii="Times New Roman" w:hAnsi="Times New Roman"/>
                <w:sz w:val="24"/>
                <w:szCs w:val="24"/>
                <w:lang w:val="ro-MD"/>
              </w:rPr>
              <w:tab/>
              <w:t>asolamentului și folosirea îngrășămintelor organice poate fi ameliorată calitatea  (sănătatea)  solului cu reducerea dependenței de îngrășămintele minerale, pesticide, arătură cu plug cu cormană și apă irigabilă.</w:t>
            </w:r>
          </w:p>
          <w:p w:rsidR="00F01E7B" w:rsidRDefault="00F01E7B">
            <w:pPr>
              <w:spacing w:after="0" w:line="276" w:lineRule="auto"/>
              <w:ind w:firstLine="720"/>
              <w:jc w:val="both"/>
              <w:rPr>
                <w:rFonts w:ascii="Times New Roman" w:hAnsi="Times New Roman"/>
                <w:sz w:val="24"/>
                <w:szCs w:val="24"/>
                <w:lang w:val="ro-MD"/>
              </w:rPr>
            </w:pPr>
            <w:r>
              <w:rPr>
                <w:rFonts w:ascii="Times New Roman" w:hAnsi="Times New Roman"/>
                <w:sz w:val="24"/>
                <w:szCs w:val="24"/>
                <w:lang w:val="ro-MD"/>
              </w:rPr>
              <w:tab/>
              <w:t>Astfel,   poate fi  majorată competitivitatea producătorilor agricoli în condițiile majorării prețurilor la inputurile industriale și reducerea prețurilor la produsele agricole. Concomitent scade impactul negativ asupra mediului ambiant și sănătății oamenilor.</w:t>
            </w:r>
          </w:p>
          <w:p w:rsidR="00F01E7B" w:rsidRDefault="00F01E7B">
            <w:pPr>
              <w:spacing w:after="0" w:line="276" w:lineRule="auto"/>
              <w:ind w:firstLine="720"/>
              <w:jc w:val="both"/>
              <w:rPr>
                <w:rFonts w:ascii="Times New Roman" w:hAnsi="Times New Roman"/>
                <w:sz w:val="24"/>
                <w:szCs w:val="24"/>
                <w:lang w:val="ro-MD"/>
              </w:rPr>
            </w:pPr>
            <w:r>
              <w:rPr>
                <w:rFonts w:ascii="Times New Roman" w:hAnsi="Times New Roman"/>
                <w:sz w:val="24"/>
                <w:szCs w:val="24"/>
                <w:lang w:val="ro-MD"/>
              </w:rPr>
              <w:tab/>
              <w:t xml:space="preserve">Rezultatele obținute timp de 4 ani au fost prezentate la seminarele organizate de direcțiile agricole </w:t>
            </w:r>
            <w:proofErr w:type="spellStart"/>
            <w:r>
              <w:rPr>
                <w:rFonts w:ascii="Times New Roman" w:hAnsi="Times New Roman"/>
                <w:sz w:val="24"/>
                <w:szCs w:val="24"/>
                <w:lang w:val="ro-MD"/>
              </w:rPr>
              <w:t>agricole</w:t>
            </w:r>
            <w:proofErr w:type="spellEnd"/>
            <w:r>
              <w:rPr>
                <w:rFonts w:ascii="Times New Roman" w:hAnsi="Times New Roman"/>
                <w:sz w:val="24"/>
                <w:szCs w:val="24"/>
                <w:lang w:val="ro-MD"/>
              </w:rPr>
              <w:t xml:space="preserve"> și Ministerul Agriculturii -  90; la 86 emisiuni naționale de radio și 85 emisiuni TV; am participat la 5 lecții publice și 4 </w:t>
            </w:r>
            <w:proofErr w:type="spellStart"/>
            <w:r>
              <w:rPr>
                <w:rFonts w:ascii="Times New Roman" w:hAnsi="Times New Roman"/>
                <w:sz w:val="24"/>
                <w:szCs w:val="24"/>
                <w:lang w:val="ro-MD"/>
              </w:rPr>
              <w:t>webinare</w:t>
            </w:r>
            <w:proofErr w:type="spellEnd"/>
            <w:r>
              <w:rPr>
                <w:rFonts w:ascii="Times New Roman" w:hAnsi="Times New Roman"/>
                <w:sz w:val="24"/>
                <w:szCs w:val="24"/>
                <w:lang w:val="ro-MD"/>
              </w:rPr>
              <w:t xml:space="preserve"> internaționale.</w:t>
            </w:r>
          </w:p>
          <w:p w:rsidR="00F01E7B" w:rsidRDefault="00F01E7B">
            <w:pPr>
              <w:spacing w:after="0" w:line="276" w:lineRule="auto"/>
              <w:ind w:firstLine="720"/>
              <w:jc w:val="both"/>
              <w:rPr>
                <w:rFonts w:ascii="Times New Roman" w:hAnsi="Times New Roman"/>
                <w:sz w:val="24"/>
                <w:szCs w:val="24"/>
                <w:lang w:val="ro-MD"/>
              </w:rPr>
            </w:pPr>
            <w:r>
              <w:rPr>
                <w:rFonts w:ascii="Times New Roman" w:hAnsi="Times New Roman"/>
                <w:sz w:val="24"/>
                <w:szCs w:val="24"/>
                <w:lang w:val="ro-MD"/>
              </w:rPr>
              <w:tab/>
              <w:t>A fost finalizat proiectul în cadrul consorțiului European Orizont 2020.</w:t>
            </w:r>
          </w:p>
          <w:p w:rsidR="00F01E7B" w:rsidRDefault="00F01E7B">
            <w:pPr>
              <w:spacing w:after="0" w:line="276" w:lineRule="auto"/>
              <w:ind w:firstLine="720"/>
              <w:jc w:val="both"/>
              <w:rPr>
                <w:rFonts w:ascii="Times New Roman" w:hAnsi="Times New Roman"/>
                <w:sz w:val="24"/>
                <w:szCs w:val="24"/>
                <w:lang w:val="ro-MD"/>
              </w:rPr>
            </w:pPr>
            <w:r>
              <w:rPr>
                <w:rFonts w:ascii="Times New Roman" w:hAnsi="Times New Roman"/>
                <w:sz w:val="24"/>
                <w:szCs w:val="24"/>
                <w:lang w:val="ro-MD"/>
              </w:rPr>
              <w:tab/>
              <w:t xml:space="preserve">Respectarea întregului sistem de agricultură  (respectarea  asolamentului cu o diversitate mai mare de culturi de bază și succesive inclusiv a culturilor de bază erbacee perene; reducerea dozelor de </w:t>
            </w:r>
            <w:proofErr w:type="spellStart"/>
            <w:r>
              <w:rPr>
                <w:rFonts w:ascii="Times New Roman" w:hAnsi="Times New Roman"/>
                <w:sz w:val="24"/>
                <w:szCs w:val="24"/>
                <w:lang w:val="ro-MD"/>
              </w:rPr>
              <w:t>îngrășămintete</w:t>
            </w:r>
            <w:proofErr w:type="spellEnd"/>
            <w:r>
              <w:rPr>
                <w:rFonts w:ascii="Times New Roman" w:hAnsi="Times New Roman"/>
                <w:sz w:val="24"/>
                <w:szCs w:val="24"/>
                <w:lang w:val="ro-MD"/>
              </w:rPr>
              <w:t xml:space="preserve"> minerale, în special de azot; reducerea și excluderea arăturii cu plug cu cormană etc) va permite tranziția la un sistem de agricultură durabilă, inclusiv ecologică, capabil să răspundă la provocările agriculturii moderne.</w:t>
            </w:r>
          </w:p>
          <w:p w:rsidR="00F01E7B" w:rsidRDefault="00F01E7B">
            <w:pPr>
              <w:spacing w:after="0" w:line="276" w:lineRule="auto"/>
              <w:ind w:firstLine="720"/>
              <w:jc w:val="both"/>
              <w:rPr>
                <w:rFonts w:ascii="Times New Roman" w:hAnsi="Times New Roman"/>
                <w:sz w:val="24"/>
                <w:szCs w:val="24"/>
                <w:lang w:val="ro-MD"/>
              </w:rPr>
            </w:pPr>
            <w:r>
              <w:rPr>
                <w:rFonts w:ascii="Times New Roman" w:hAnsi="Times New Roman"/>
                <w:sz w:val="24"/>
                <w:szCs w:val="24"/>
                <w:lang w:val="ro-MD"/>
              </w:rPr>
              <w:tab/>
              <w:t>Au fost publicate 69 lucrări științifice.</w:t>
            </w:r>
          </w:p>
        </w:tc>
      </w:tr>
    </w:tbl>
    <w:p w:rsidR="00F01E7B" w:rsidRDefault="00F01E7B"/>
    <w:sectPr w:rsidR="00F01E7B">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3595B"/>
    <w:multiLevelType w:val="hybridMultilevel"/>
    <w:tmpl w:val="72A0D202"/>
    <w:lvl w:ilvl="0" w:tplc="04180001">
      <w:start w:val="1"/>
      <w:numFmt w:val="bullet"/>
      <w:lvlText w:val=""/>
      <w:lvlJc w:val="left"/>
      <w:pPr>
        <w:ind w:left="720" w:hanging="360"/>
      </w:pPr>
      <w:rPr>
        <w:rFonts w:ascii="Symbol" w:hAnsi="Symbol"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E7B"/>
    <w:rsid w:val="00F0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872FE-EE0E-4274-A703-C000134C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E7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oetelu (bulletid) Char,Referncias Char,1st level - Bullet List Paragraph Char,Lettre d'introduction Char,Paragrafo elenco Char,Medium Grid 1 - Accent 21 Char,Normal bullet 2 Char,Bullet list Char,Numbered List Char,Listenabsatz Char"/>
    <w:link w:val="ListParagraph"/>
    <w:uiPriority w:val="34"/>
    <w:qFormat/>
    <w:locked/>
    <w:rsid w:val="00F01E7B"/>
    <w:rPr>
      <w:lang w:val="x-none"/>
    </w:rPr>
  </w:style>
  <w:style w:type="paragraph" w:styleId="ListParagraph">
    <w:name w:val="List Paragraph"/>
    <w:aliases w:val="Loetelu (bulletid),Referncias,1st level - Bullet List Paragraph,Lettre d'introduction,Paragrafo elenco,Medium Grid 1 - Accent 21,Normal bullet 2,Bullet list,Numbered List,Colorful List - Accent 11,Listenabsatz,Puces,List Paragraph 1,Stil3"/>
    <w:basedOn w:val="Normal"/>
    <w:link w:val="ListParagraphChar"/>
    <w:uiPriority w:val="34"/>
    <w:qFormat/>
    <w:rsid w:val="00F01E7B"/>
    <w:pPr>
      <w:spacing w:line="252" w:lineRule="auto"/>
      <w:ind w:left="720"/>
      <w:contextualSpacing/>
    </w:pPr>
    <w:rPr>
      <w:rFonts w:asciiTheme="minorHAnsi" w:eastAsiaTheme="minorHAnsi" w:hAnsiTheme="minorHAnsi" w:cstheme="minorBid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dc:creator>
  <cp:keywords/>
  <dc:description/>
  <cp:lastModifiedBy>Gabriela</cp:lastModifiedBy>
  <cp:revision>1</cp:revision>
  <dcterms:created xsi:type="dcterms:W3CDTF">2024-02-13T13:37:00Z</dcterms:created>
  <dcterms:modified xsi:type="dcterms:W3CDTF">2024-02-13T13:38:00Z</dcterms:modified>
</cp:coreProperties>
</file>