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B0" w:rsidRDefault="006A2FB0" w:rsidP="006A2FB0">
      <w:pPr>
        <w:pStyle w:val="Listparagraf"/>
        <w:widowControl w:val="0"/>
        <w:shd w:val="clear" w:color="auto" w:fill="FFFFFF"/>
        <w:autoSpaceDE w:val="0"/>
        <w:autoSpaceDN w:val="0"/>
        <w:adjustRightInd w:val="0"/>
        <w:spacing w:after="0" w:line="360" w:lineRule="auto"/>
        <w:jc w:val="center"/>
        <w:rPr>
          <w:rFonts w:ascii="Times New Roman" w:hAnsi="Times New Roman"/>
          <w:b/>
          <w:bCs/>
          <w:kern w:val="32"/>
          <w:sz w:val="24"/>
          <w:szCs w:val="24"/>
          <w:lang w:val="ro-RO"/>
        </w:rPr>
      </w:pPr>
      <w:r>
        <w:rPr>
          <w:rFonts w:ascii="Times New Roman" w:hAnsi="Times New Roman"/>
          <w:b/>
          <w:bCs/>
          <w:kern w:val="32"/>
          <w:sz w:val="24"/>
          <w:szCs w:val="24"/>
          <w:lang w:val="ro-RO"/>
        </w:rPr>
        <w:t>IMSP Institutul de Cardiologie</w:t>
      </w:r>
    </w:p>
    <w:p w:rsidR="006A2FB0" w:rsidRPr="00D75B95" w:rsidRDefault="006A2FB0" w:rsidP="006A2FB0">
      <w:pPr>
        <w:pStyle w:val="Listparagraf"/>
        <w:widowControl w:val="0"/>
        <w:shd w:val="clear" w:color="auto" w:fill="FFFFFF"/>
        <w:autoSpaceDE w:val="0"/>
        <w:autoSpaceDN w:val="0"/>
        <w:adjustRightInd w:val="0"/>
        <w:spacing w:after="0" w:line="360" w:lineRule="auto"/>
        <w:jc w:val="center"/>
        <w:rPr>
          <w:rFonts w:ascii="Times New Roman" w:hAnsi="Times New Roman"/>
          <w:b/>
          <w:bCs/>
          <w:kern w:val="32"/>
          <w:sz w:val="24"/>
          <w:szCs w:val="24"/>
          <w:lang w:val="ro-RO"/>
        </w:rPr>
      </w:pPr>
      <w:r>
        <w:rPr>
          <w:rFonts w:ascii="Times New Roman" w:hAnsi="Times New Roman"/>
          <w:b/>
          <w:bCs/>
          <w:kern w:val="32"/>
          <w:sz w:val="24"/>
          <w:szCs w:val="24"/>
          <w:lang w:val="ro-RO"/>
        </w:rPr>
        <w:t>Program</w:t>
      </w:r>
      <w:r w:rsidRPr="00D75B95">
        <w:rPr>
          <w:rFonts w:ascii="Times New Roman" w:hAnsi="Times New Roman"/>
          <w:b/>
          <w:bCs/>
          <w:kern w:val="32"/>
          <w:sz w:val="24"/>
          <w:szCs w:val="24"/>
          <w:lang w:val="ro-RO"/>
        </w:rPr>
        <w:t xml:space="preserve"> de Stat</w:t>
      </w:r>
      <w:r>
        <w:rPr>
          <w:rFonts w:ascii="Times New Roman" w:hAnsi="Times New Roman"/>
          <w:b/>
          <w:bCs/>
          <w:kern w:val="32"/>
          <w:sz w:val="24"/>
          <w:szCs w:val="24"/>
          <w:lang w:val="ro-RO"/>
        </w:rPr>
        <w:t xml:space="preserve"> </w:t>
      </w:r>
      <w:r w:rsidRPr="00D75B95">
        <w:rPr>
          <w:rFonts w:ascii="Times New Roman" w:hAnsi="Times New Roman"/>
          <w:b/>
          <w:bCs/>
          <w:kern w:val="32"/>
          <w:sz w:val="24"/>
          <w:szCs w:val="24"/>
          <w:lang w:val="ro-RO"/>
        </w:rPr>
        <w:t>(2020-2023)</w:t>
      </w:r>
    </w:p>
    <w:p w:rsidR="00287771" w:rsidRPr="00287771" w:rsidRDefault="009E489D" w:rsidP="00287771">
      <w:pPr>
        <w:jc w:val="center"/>
        <w:rPr>
          <w:rFonts w:ascii="Times New Roman" w:hAnsi="Times New Roman"/>
          <w:b/>
          <w:bCs/>
          <w:kern w:val="32"/>
          <w:sz w:val="24"/>
          <w:szCs w:val="24"/>
          <w:lang w:val="ro-RO"/>
        </w:rPr>
      </w:pPr>
      <w:r w:rsidRPr="00D75B95">
        <w:rPr>
          <w:rFonts w:ascii="Times New Roman" w:hAnsi="Times New Roman"/>
          <w:bCs/>
          <w:kern w:val="32"/>
          <w:sz w:val="24"/>
          <w:szCs w:val="24"/>
          <w:lang w:val="ro-RO"/>
        </w:rPr>
        <w:t>Proiectul</w:t>
      </w:r>
      <w:r>
        <w:rPr>
          <w:rFonts w:ascii="Times New Roman" w:hAnsi="Times New Roman"/>
          <w:bCs/>
          <w:kern w:val="32"/>
          <w:sz w:val="24"/>
          <w:szCs w:val="24"/>
          <w:lang w:val="ro-RO"/>
        </w:rPr>
        <w:t xml:space="preserve"> ,,</w:t>
      </w:r>
      <w:r w:rsidR="00287771" w:rsidRPr="00287771">
        <w:rPr>
          <w:lang w:val="en-US"/>
        </w:rPr>
        <w:t xml:space="preserve"> </w:t>
      </w:r>
      <w:r w:rsidR="00287771" w:rsidRPr="00287771">
        <w:rPr>
          <w:rFonts w:ascii="Times New Roman" w:hAnsi="Times New Roman"/>
          <w:b/>
          <w:bCs/>
          <w:kern w:val="32"/>
          <w:sz w:val="24"/>
          <w:szCs w:val="24"/>
          <w:lang w:val="ro-RO"/>
        </w:rPr>
        <w:t xml:space="preserve">Alternative terapeutice noi de ameliorare a prognozei de lungă durată a pacienților cu insuficiență cardiacă cronică prin implementarea strategiilor chirurgicale,  intervenționale și de recuperare </w:t>
      </w:r>
      <w:proofErr w:type="spellStart"/>
      <w:r w:rsidR="00287771" w:rsidRPr="00287771">
        <w:rPr>
          <w:rFonts w:ascii="Times New Roman" w:hAnsi="Times New Roman"/>
          <w:b/>
          <w:bCs/>
          <w:kern w:val="32"/>
          <w:sz w:val="24"/>
          <w:szCs w:val="24"/>
          <w:lang w:val="ro-RO"/>
        </w:rPr>
        <w:t>perioperatorie</w:t>
      </w:r>
      <w:proofErr w:type="spellEnd"/>
      <w:r w:rsidR="00287771" w:rsidRPr="00287771">
        <w:rPr>
          <w:rFonts w:ascii="Times New Roman" w:hAnsi="Times New Roman"/>
          <w:b/>
          <w:bCs/>
          <w:kern w:val="32"/>
          <w:sz w:val="24"/>
          <w:szCs w:val="24"/>
          <w:lang w:val="ro-RO"/>
        </w:rPr>
        <w:t xml:space="preserve"> (ALTERICC)”</w:t>
      </w:r>
    </w:p>
    <w:p w:rsidR="002A1598" w:rsidRPr="00287771" w:rsidRDefault="00287771" w:rsidP="00287771">
      <w:pPr>
        <w:jc w:val="center"/>
        <w:rPr>
          <w:rFonts w:ascii="Times New Roman" w:hAnsi="Times New Roman"/>
          <w:b/>
          <w:bCs/>
          <w:kern w:val="32"/>
          <w:sz w:val="24"/>
          <w:szCs w:val="24"/>
          <w:lang w:val="ro-RO"/>
        </w:rPr>
      </w:pPr>
      <w:r w:rsidRPr="00287771">
        <w:rPr>
          <w:rFonts w:ascii="Times New Roman" w:hAnsi="Times New Roman"/>
          <w:b/>
          <w:bCs/>
          <w:kern w:val="32"/>
          <w:sz w:val="24"/>
          <w:szCs w:val="24"/>
          <w:lang w:val="ro-RO"/>
        </w:rPr>
        <w:t>cifrul proiectului 20.80009.8007.34</w:t>
      </w:r>
    </w:p>
    <w:p w:rsidR="009E489D" w:rsidRDefault="009E489D" w:rsidP="009E489D">
      <w:pPr>
        <w:rPr>
          <w:rFonts w:ascii="Times New Roman" w:hAnsi="Times New Roman"/>
          <w:bCs/>
          <w:kern w:val="32"/>
          <w:sz w:val="24"/>
          <w:szCs w:val="24"/>
          <w:lang w:val="ro-RO"/>
        </w:rPr>
      </w:pPr>
    </w:p>
    <w:p w:rsidR="009E489D" w:rsidRDefault="009E489D" w:rsidP="009E489D">
      <w:pPr>
        <w:pStyle w:val="Listparagraf"/>
        <w:widowControl w:val="0"/>
        <w:shd w:val="clear" w:color="auto" w:fill="FFFFFF"/>
        <w:autoSpaceDE w:val="0"/>
        <w:autoSpaceDN w:val="0"/>
        <w:adjustRightInd w:val="0"/>
        <w:spacing w:after="0" w:line="360" w:lineRule="auto"/>
        <w:ind w:left="0"/>
        <w:jc w:val="center"/>
        <w:rPr>
          <w:rFonts w:ascii="Times New Roman" w:hAnsi="Times New Roman"/>
          <w:b/>
          <w:bCs/>
          <w:kern w:val="32"/>
          <w:sz w:val="24"/>
          <w:szCs w:val="24"/>
          <w:lang w:val="ro-RO"/>
        </w:rPr>
      </w:pPr>
      <w:r w:rsidRPr="002D1C84">
        <w:rPr>
          <w:rFonts w:ascii="Times New Roman" w:hAnsi="Times New Roman"/>
          <w:b/>
          <w:bCs/>
          <w:kern w:val="32"/>
          <w:sz w:val="24"/>
          <w:szCs w:val="24"/>
          <w:lang w:val="ro-RO"/>
        </w:rPr>
        <w:t>Rezumatul activității și a rezultatelor obținute în proiect</w:t>
      </w:r>
      <w:r>
        <w:rPr>
          <w:rFonts w:ascii="Times New Roman" w:hAnsi="Times New Roman"/>
          <w:b/>
          <w:bCs/>
          <w:kern w:val="32"/>
          <w:sz w:val="24"/>
          <w:szCs w:val="24"/>
          <w:lang w:val="ro-RO"/>
        </w:rPr>
        <w:t xml:space="preserve"> în anul 2022</w:t>
      </w:r>
    </w:p>
    <w:p w:rsidR="00180306" w:rsidRDefault="00180306" w:rsidP="009E489D">
      <w:pPr>
        <w:pStyle w:val="Listparagraf"/>
        <w:widowControl w:val="0"/>
        <w:shd w:val="clear" w:color="auto" w:fill="FFFFFF"/>
        <w:autoSpaceDE w:val="0"/>
        <w:autoSpaceDN w:val="0"/>
        <w:adjustRightInd w:val="0"/>
        <w:spacing w:after="0" w:line="360" w:lineRule="auto"/>
        <w:ind w:left="0"/>
        <w:jc w:val="center"/>
        <w:rPr>
          <w:rFonts w:ascii="Times New Roman" w:hAnsi="Times New Roman"/>
          <w:b/>
          <w:bCs/>
          <w:kern w:val="32"/>
          <w:sz w:val="24"/>
          <w:szCs w:val="24"/>
          <w:lang w:val="ro-RO"/>
        </w:rPr>
      </w:pPr>
    </w:p>
    <w:p w:rsidR="00180306" w:rsidRPr="002D1C84" w:rsidRDefault="00180306" w:rsidP="00180306">
      <w:pPr>
        <w:pStyle w:val="Listparagraf"/>
        <w:widowControl w:val="0"/>
        <w:shd w:val="clear" w:color="auto" w:fill="FFFFFF"/>
        <w:autoSpaceDE w:val="0"/>
        <w:autoSpaceDN w:val="0"/>
        <w:adjustRightInd w:val="0"/>
        <w:spacing w:after="0" w:line="276" w:lineRule="auto"/>
        <w:ind w:left="0"/>
        <w:jc w:val="both"/>
        <w:rPr>
          <w:rFonts w:ascii="Times New Roman" w:hAnsi="Times New Roman"/>
          <w:b/>
          <w:bCs/>
          <w:color w:val="FF0000"/>
          <w:kern w:val="32"/>
          <w:sz w:val="24"/>
          <w:szCs w:val="24"/>
          <w:lang w:val="ro-RO"/>
        </w:rPr>
      </w:pPr>
      <w:r w:rsidRPr="007E69D6">
        <w:rPr>
          <w:rFonts w:ascii="Times New Roman" w:hAnsi="Times New Roman"/>
          <w:bCs/>
          <w:i/>
          <w:kern w:val="32"/>
          <w:sz w:val="24"/>
          <w:szCs w:val="24"/>
          <w:lang w:val="ro-RO"/>
        </w:rPr>
        <w:t>Scopul etapei anuale 2022</w:t>
      </w:r>
      <w:r w:rsidRPr="007E69D6">
        <w:rPr>
          <w:rFonts w:ascii="Times New Roman" w:hAnsi="Times New Roman"/>
          <w:bCs/>
          <w:kern w:val="32"/>
          <w:sz w:val="24"/>
          <w:szCs w:val="24"/>
          <w:lang w:val="ro-RO"/>
        </w:rPr>
        <w:t xml:space="preserve"> a fost efectuarea s</w:t>
      </w:r>
      <w:r w:rsidRPr="007E69D6">
        <w:rPr>
          <w:rFonts w:ascii="Times New Roman" w:eastAsia="Times New Roman" w:hAnsi="Times New Roman"/>
          <w:sz w:val="24"/>
          <w:szCs w:val="24"/>
          <w:lang w:val="ro-RO"/>
        </w:rPr>
        <w:t xml:space="preserve">tudiului complex privind reversibilitatea postoperatorie a dereglărilor structurale cardiace și a sindromului de insuficiență cardiacă (IC) în perioada de reabilitare ambulatorie precoce nesupravegheată la domiciliu după un eveniment cardiovascular acut. </w:t>
      </w:r>
      <w:r w:rsidRPr="007E69D6">
        <w:rPr>
          <w:rFonts w:ascii="Times New Roman" w:eastAsia="Times New Roman" w:hAnsi="Times New Roman"/>
          <w:i/>
          <w:sz w:val="24"/>
          <w:szCs w:val="24"/>
          <w:lang w:val="ro-RO"/>
        </w:rPr>
        <w:t>Material si metode</w:t>
      </w:r>
      <w:r w:rsidRPr="007E69D6">
        <w:rPr>
          <w:rFonts w:ascii="Times New Roman" w:eastAsia="Times New Roman" w:hAnsi="Times New Roman"/>
          <w:sz w:val="24"/>
          <w:szCs w:val="24"/>
          <w:lang w:val="ro-RO"/>
        </w:rPr>
        <w:t>. Au fost invitați la examen repetat ambulatoriu 206 pacienți (</w:t>
      </w:r>
      <w:proofErr w:type="spellStart"/>
      <w:r w:rsidRPr="007E69D6">
        <w:rPr>
          <w:rFonts w:ascii="Times New Roman" w:eastAsia="Times New Roman" w:hAnsi="Times New Roman"/>
          <w:sz w:val="24"/>
          <w:szCs w:val="24"/>
          <w:lang w:val="ro-RO"/>
        </w:rPr>
        <w:t>pct</w:t>
      </w:r>
      <w:proofErr w:type="spellEnd"/>
      <w:r w:rsidRPr="007E69D6">
        <w:rPr>
          <w:rFonts w:ascii="Times New Roman" w:eastAsia="Times New Roman" w:hAnsi="Times New Roman"/>
          <w:sz w:val="24"/>
          <w:szCs w:val="24"/>
          <w:lang w:val="ro-RO"/>
        </w:rPr>
        <w:t xml:space="preserve">) cu boală ischemică cardiacă externați consecutiv din secția de reabilitare a clinicii IMSP Institutul de Cardiologie, dintre care lotul 1-120 </w:t>
      </w:r>
      <w:proofErr w:type="spellStart"/>
      <w:r w:rsidRPr="007E69D6">
        <w:rPr>
          <w:rFonts w:ascii="Times New Roman" w:eastAsia="Times New Roman" w:hAnsi="Times New Roman"/>
          <w:sz w:val="24"/>
          <w:szCs w:val="24"/>
          <w:lang w:val="ro-RO"/>
        </w:rPr>
        <w:t>pct</w:t>
      </w:r>
      <w:proofErr w:type="spellEnd"/>
      <w:r w:rsidRPr="007E69D6">
        <w:rPr>
          <w:rFonts w:ascii="Times New Roman" w:eastAsia="Times New Roman" w:hAnsi="Times New Roman"/>
          <w:sz w:val="24"/>
          <w:szCs w:val="24"/>
          <w:lang w:val="ro-RO"/>
        </w:rPr>
        <w:t xml:space="preserve"> după operații pe cord în vârstă medie 63,3±0,74 ani și lotul 2-86 </w:t>
      </w:r>
      <w:proofErr w:type="spellStart"/>
      <w:r w:rsidRPr="007E69D6">
        <w:rPr>
          <w:rFonts w:ascii="Times New Roman" w:eastAsia="Times New Roman" w:hAnsi="Times New Roman"/>
          <w:sz w:val="24"/>
          <w:szCs w:val="24"/>
          <w:lang w:val="ro-RO"/>
        </w:rPr>
        <w:t>pct</w:t>
      </w:r>
      <w:proofErr w:type="spellEnd"/>
      <w:r w:rsidRPr="007E69D6">
        <w:rPr>
          <w:rFonts w:ascii="Times New Roman" w:eastAsia="Times New Roman" w:hAnsi="Times New Roman"/>
          <w:sz w:val="24"/>
          <w:szCs w:val="24"/>
          <w:lang w:val="ro-RO"/>
        </w:rPr>
        <w:t xml:space="preserve"> după </w:t>
      </w:r>
      <w:proofErr w:type="spellStart"/>
      <w:r w:rsidRPr="007E69D6">
        <w:rPr>
          <w:rFonts w:ascii="Times New Roman" w:eastAsia="Times New Roman" w:hAnsi="Times New Roman"/>
          <w:sz w:val="24"/>
          <w:szCs w:val="24"/>
          <w:lang w:val="ro-RO"/>
        </w:rPr>
        <w:t>angioplastie</w:t>
      </w:r>
      <w:proofErr w:type="spellEnd"/>
      <w:r w:rsidRPr="007E69D6">
        <w:rPr>
          <w:rFonts w:ascii="Times New Roman" w:eastAsia="Times New Roman" w:hAnsi="Times New Roman"/>
          <w:sz w:val="24"/>
          <w:szCs w:val="24"/>
          <w:lang w:val="ro-RO"/>
        </w:rPr>
        <w:t xml:space="preserve"> coronariană (PTCI) primară cu implantarea </w:t>
      </w:r>
      <w:proofErr w:type="spellStart"/>
      <w:r w:rsidRPr="007E69D6">
        <w:rPr>
          <w:rFonts w:ascii="Times New Roman" w:eastAsia="Times New Roman" w:hAnsi="Times New Roman"/>
          <w:sz w:val="24"/>
          <w:szCs w:val="24"/>
          <w:lang w:val="ro-RO"/>
        </w:rPr>
        <w:t>stentului</w:t>
      </w:r>
      <w:proofErr w:type="spellEnd"/>
      <w:r w:rsidRPr="007E69D6">
        <w:rPr>
          <w:rFonts w:ascii="Times New Roman" w:eastAsia="Times New Roman" w:hAnsi="Times New Roman"/>
          <w:sz w:val="24"/>
          <w:szCs w:val="24"/>
          <w:lang w:val="ro-RO"/>
        </w:rPr>
        <w:t xml:space="preserve"> si infarct miocardic acut, vârsta medie 62,0±1,11. În lotul general erau 171 (83%) bărbați și 17 (35%) femei. Toți pacienții au fost investigați la 2 etape: T2 – externare din clinică și T3 – la 3 luni după evenimentul acut. Nu s-au înregistrat diferențe semnificative dintre </w:t>
      </w:r>
      <w:r w:rsidRPr="007E69D6">
        <w:rPr>
          <w:rFonts w:ascii="Times New Roman" w:eastAsia="Times New Roman" w:hAnsi="Times New Roman"/>
          <w:i/>
          <w:sz w:val="24"/>
          <w:szCs w:val="24"/>
          <w:lang w:val="ro-RO"/>
        </w:rPr>
        <w:t>valorile medii pe loturi</w:t>
      </w:r>
      <w:r w:rsidRPr="007E69D6">
        <w:rPr>
          <w:rFonts w:ascii="Times New Roman" w:eastAsia="Times New Roman" w:hAnsi="Times New Roman"/>
          <w:sz w:val="24"/>
          <w:szCs w:val="24"/>
          <w:lang w:val="ro-RO"/>
        </w:rPr>
        <w:t xml:space="preserve"> în raport cu parametrii insuficienței cardiace, fracției de ejecție (FE) și concentrației serice a markerului IC proteina </w:t>
      </w:r>
      <w:proofErr w:type="spellStart"/>
      <w:r w:rsidRPr="007E69D6">
        <w:rPr>
          <w:rFonts w:ascii="Times New Roman" w:eastAsia="Times New Roman" w:hAnsi="Times New Roman"/>
          <w:sz w:val="24"/>
          <w:szCs w:val="24"/>
          <w:lang w:val="ro-RO"/>
        </w:rPr>
        <w:t>natriuretică</w:t>
      </w:r>
      <w:proofErr w:type="spellEnd"/>
      <w:r w:rsidRPr="007E69D6">
        <w:rPr>
          <w:rFonts w:ascii="Times New Roman" w:eastAsia="Times New Roman" w:hAnsi="Times New Roman"/>
          <w:sz w:val="24"/>
          <w:szCs w:val="24"/>
          <w:lang w:val="ro-RO"/>
        </w:rPr>
        <w:t xml:space="preserve"> NT-</w:t>
      </w:r>
      <w:proofErr w:type="spellStart"/>
      <w:r w:rsidRPr="007E69D6">
        <w:rPr>
          <w:rFonts w:ascii="Times New Roman" w:eastAsia="Times New Roman" w:hAnsi="Times New Roman"/>
          <w:sz w:val="24"/>
          <w:szCs w:val="24"/>
          <w:lang w:val="ro-RO"/>
        </w:rPr>
        <w:t>proBNP</w:t>
      </w:r>
      <w:proofErr w:type="spellEnd"/>
      <w:r w:rsidRPr="007E69D6">
        <w:rPr>
          <w:rFonts w:ascii="Times New Roman" w:eastAsia="Times New Roman" w:hAnsi="Times New Roman"/>
          <w:sz w:val="24"/>
          <w:szCs w:val="24"/>
          <w:lang w:val="ro-RO"/>
        </w:rPr>
        <w:t xml:space="preserve"> la etapa T2. Însă evoluția fenotipului IC a evidențiat ameliorarea FE la 13,3% </w:t>
      </w:r>
      <w:proofErr w:type="spellStart"/>
      <w:r w:rsidRPr="007E69D6">
        <w:rPr>
          <w:rFonts w:ascii="Times New Roman" w:eastAsia="Times New Roman" w:hAnsi="Times New Roman"/>
          <w:sz w:val="24"/>
          <w:szCs w:val="24"/>
          <w:lang w:val="ro-RO"/>
        </w:rPr>
        <w:t>pct</w:t>
      </w:r>
      <w:proofErr w:type="spellEnd"/>
      <w:r w:rsidRPr="007E69D6">
        <w:rPr>
          <w:rFonts w:ascii="Times New Roman" w:eastAsia="Times New Roman" w:hAnsi="Times New Roman"/>
          <w:sz w:val="24"/>
          <w:szCs w:val="24"/>
          <w:lang w:val="ro-RO"/>
        </w:rPr>
        <w:t xml:space="preserve"> și </w:t>
      </w:r>
      <w:proofErr w:type="spellStart"/>
      <w:r w:rsidRPr="007E69D6">
        <w:rPr>
          <w:rFonts w:ascii="Times New Roman" w:eastAsia="Times New Roman" w:hAnsi="Times New Roman"/>
          <w:sz w:val="24"/>
          <w:szCs w:val="24"/>
          <w:lang w:val="ro-RO"/>
        </w:rPr>
        <w:t>îrăutățirea</w:t>
      </w:r>
      <w:proofErr w:type="spellEnd"/>
      <w:r w:rsidRPr="007E69D6">
        <w:rPr>
          <w:rFonts w:ascii="Times New Roman" w:eastAsia="Times New Roman" w:hAnsi="Times New Roman"/>
          <w:sz w:val="24"/>
          <w:szCs w:val="24"/>
          <w:lang w:val="ro-RO"/>
        </w:rPr>
        <w:t xml:space="preserve"> – la 5,5% din lotul 1 comparativ cu 24,4%  și 2,3 % din lotul 2. (p=0,02) , iar la 80,8% si 73,3% FE a rămas neschimbată. Nivelele NT-</w:t>
      </w:r>
      <w:proofErr w:type="spellStart"/>
      <w:r w:rsidRPr="007E69D6">
        <w:rPr>
          <w:rFonts w:ascii="Times New Roman" w:eastAsia="Times New Roman" w:hAnsi="Times New Roman"/>
          <w:sz w:val="24"/>
          <w:szCs w:val="24"/>
          <w:lang w:val="ro-RO"/>
        </w:rPr>
        <w:t>proBNP</w:t>
      </w:r>
      <w:proofErr w:type="spellEnd"/>
      <w:r w:rsidRPr="007E69D6">
        <w:rPr>
          <w:rFonts w:ascii="Times New Roman" w:eastAsia="Times New Roman" w:hAnsi="Times New Roman"/>
          <w:sz w:val="24"/>
          <w:szCs w:val="24"/>
          <w:lang w:val="ro-RO"/>
        </w:rPr>
        <w:t xml:space="preserve"> au scăzut nesemnificativ in ambele loturi, dovedind persistența sindromului de IC. </w:t>
      </w:r>
      <w:r w:rsidRPr="007E69D6">
        <w:rPr>
          <w:rFonts w:ascii="Times New Roman" w:eastAsia="Times New Roman" w:hAnsi="Times New Roman"/>
          <w:i/>
          <w:sz w:val="24"/>
          <w:szCs w:val="24"/>
          <w:lang w:val="ro-RO"/>
        </w:rPr>
        <w:t>Modificările clinice ale insuficienței cardiace</w:t>
      </w:r>
      <w:r w:rsidRPr="007E69D6">
        <w:rPr>
          <w:rFonts w:ascii="Times New Roman" w:eastAsia="Times New Roman" w:hAnsi="Times New Roman"/>
          <w:sz w:val="24"/>
          <w:szCs w:val="24"/>
          <w:lang w:val="ro-RO"/>
        </w:rPr>
        <w:t xml:space="preserve"> s-au apreciat la trei grupuri de pacienții cu diferite fenotipuri ale IC: gr. 1 – IC cu fracția de ejecție redusă (</w:t>
      </w:r>
      <w:proofErr w:type="spellStart"/>
      <w:r w:rsidRPr="007E69D6">
        <w:rPr>
          <w:rFonts w:ascii="Times New Roman" w:eastAsia="Times New Roman" w:hAnsi="Times New Roman"/>
          <w:sz w:val="24"/>
          <w:szCs w:val="24"/>
          <w:lang w:val="ro-RO"/>
        </w:rPr>
        <w:t>ICFEr</w:t>
      </w:r>
      <w:proofErr w:type="spellEnd"/>
      <w:r w:rsidRPr="007E69D6">
        <w:rPr>
          <w:rFonts w:ascii="Times New Roman" w:eastAsia="Times New Roman" w:hAnsi="Times New Roman"/>
          <w:sz w:val="24"/>
          <w:szCs w:val="24"/>
          <w:lang w:val="ro-RO"/>
        </w:rPr>
        <w:t>), gr. 2-IC cu fracția de ejecție ușor redusă (</w:t>
      </w:r>
      <w:proofErr w:type="spellStart"/>
      <w:r w:rsidRPr="007E69D6">
        <w:rPr>
          <w:rFonts w:ascii="Times New Roman" w:eastAsia="Times New Roman" w:hAnsi="Times New Roman"/>
          <w:sz w:val="24"/>
          <w:szCs w:val="24"/>
          <w:lang w:val="ro-RO"/>
        </w:rPr>
        <w:t>ICFEur</w:t>
      </w:r>
      <w:proofErr w:type="spellEnd"/>
      <w:r w:rsidRPr="007E69D6">
        <w:rPr>
          <w:rFonts w:ascii="Times New Roman" w:eastAsia="Times New Roman" w:hAnsi="Times New Roman"/>
          <w:sz w:val="24"/>
          <w:szCs w:val="24"/>
          <w:lang w:val="ro-RO"/>
        </w:rPr>
        <w:t>) și gr.3 – IC cu FE păstrată (</w:t>
      </w:r>
      <w:proofErr w:type="spellStart"/>
      <w:r w:rsidRPr="007E69D6">
        <w:rPr>
          <w:rFonts w:ascii="Times New Roman" w:eastAsia="Times New Roman" w:hAnsi="Times New Roman"/>
          <w:sz w:val="24"/>
          <w:szCs w:val="24"/>
          <w:lang w:val="ro-RO"/>
        </w:rPr>
        <w:t>ICFEp</w:t>
      </w:r>
      <w:proofErr w:type="spellEnd"/>
      <w:r w:rsidRPr="007E69D6">
        <w:rPr>
          <w:rFonts w:ascii="Times New Roman" w:eastAsia="Times New Roman" w:hAnsi="Times New Roman"/>
          <w:sz w:val="24"/>
          <w:szCs w:val="24"/>
          <w:lang w:val="ro-RO"/>
        </w:rPr>
        <w:t xml:space="preserve">). La etapa T3 stadiul IC în lotul general, apreciat prin examen clinic, a avansat de la </w:t>
      </w:r>
      <w:proofErr w:type="spellStart"/>
      <w:r w:rsidRPr="007E69D6">
        <w:rPr>
          <w:rFonts w:ascii="Times New Roman" w:eastAsia="Times New Roman" w:hAnsi="Times New Roman"/>
          <w:sz w:val="24"/>
          <w:szCs w:val="24"/>
          <w:lang w:val="ro-RO"/>
        </w:rPr>
        <w:t>st.B</w:t>
      </w:r>
      <w:proofErr w:type="spellEnd"/>
      <w:r w:rsidRPr="007E69D6">
        <w:rPr>
          <w:rFonts w:ascii="Times New Roman" w:eastAsia="Times New Roman" w:hAnsi="Times New Roman"/>
          <w:sz w:val="24"/>
          <w:szCs w:val="24"/>
          <w:lang w:val="ro-RO"/>
        </w:rPr>
        <w:t xml:space="preserve"> – </w:t>
      </w:r>
      <w:proofErr w:type="spellStart"/>
      <w:r w:rsidRPr="007E69D6">
        <w:rPr>
          <w:rFonts w:ascii="Times New Roman" w:eastAsia="Times New Roman" w:hAnsi="Times New Roman"/>
          <w:sz w:val="24"/>
          <w:szCs w:val="24"/>
          <w:lang w:val="ro-RO"/>
        </w:rPr>
        <w:t>noncongestiv</w:t>
      </w:r>
      <w:proofErr w:type="spellEnd"/>
      <w:r w:rsidRPr="007E69D6">
        <w:rPr>
          <w:rFonts w:ascii="Times New Roman" w:eastAsia="Times New Roman" w:hAnsi="Times New Roman"/>
          <w:sz w:val="24"/>
          <w:szCs w:val="24"/>
          <w:lang w:val="ro-RO"/>
        </w:rPr>
        <w:t xml:space="preserve"> la </w:t>
      </w:r>
      <w:proofErr w:type="spellStart"/>
      <w:r w:rsidRPr="007E69D6">
        <w:rPr>
          <w:rFonts w:ascii="Times New Roman" w:eastAsia="Times New Roman" w:hAnsi="Times New Roman"/>
          <w:sz w:val="24"/>
          <w:szCs w:val="24"/>
          <w:lang w:val="ro-RO"/>
        </w:rPr>
        <w:t>st.C</w:t>
      </w:r>
      <w:proofErr w:type="spellEnd"/>
      <w:r w:rsidRPr="007E69D6">
        <w:rPr>
          <w:rFonts w:ascii="Times New Roman" w:eastAsia="Times New Roman" w:hAnsi="Times New Roman"/>
          <w:sz w:val="24"/>
          <w:szCs w:val="24"/>
          <w:lang w:val="ro-RO"/>
        </w:rPr>
        <w:t xml:space="preserve"> – congestiv în special din contul gr.2 și gr.3  (</w:t>
      </w:r>
      <w:proofErr w:type="spellStart"/>
      <w:r w:rsidRPr="007E69D6">
        <w:rPr>
          <w:rFonts w:ascii="Times New Roman" w:eastAsia="Times New Roman" w:hAnsi="Times New Roman"/>
          <w:sz w:val="24"/>
          <w:szCs w:val="24"/>
          <w:lang w:val="ro-RO"/>
        </w:rPr>
        <w:t>pct</w:t>
      </w:r>
      <w:proofErr w:type="spellEnd"/>
      <w:r w:rsidRPr="007E69D6">
        <w:rPr>
          <w:rFonts w:ascii="Times New Roman" w:eastAsia="Times New Roman" w:hAnsi="Times New Roman"/>
          <w:sz w:val="24"/>
          <w:szCs w:val="24"/>
          <w:lang w:val="ro-RO"/>
        </w:rPr>
        <w:t xml:space="preserve"> cu </w:t>
      </w:r>
      <w:proofErr w:type="spellStart"/>
      <w:r w:rsidRPr="007E69D6">
        <w:rPr>
          <w:rFonts w:ascii="Times New Roman" w:eastAsia="Times New Roman" w:hAnsi="Times New Roman"/>
          <w:sz w:val="24"/>
          <w:szCs w:val="24"/>
          <w:lang w:val="ro-RO"/>
        </w:rPr>
        <w:t>ICFEur</w:t>
      </w:r>
      <w:proofErr w:type="spellEnd"/>
      <w:r w:rsidRPr="007E69D6">
        <w:rPr>
          <w:rFonts w:ascii="Times New Roman" w:eastAsia="Times New Roman" w:hAnsi="Times New Roman"/>
          <w:sz w:val="24"/>
          <w:szCs w:val="24"/>
          <w:lang w:val="ro-RO"/>
        </w:rPr>
        <w:t xml:space="preserve"> și </w:t>
      </w:r>
      <w:proofErr w:type="spellStart"/>
      <w:r w:rsidRPr="007E69D6">
        <w:rPr>
          <w:rFonts w:ascii="Times New Roman" w:eastAsia="Times New Roman" w:hAnsi="Times New Roman"/>
          <w:sz w:val="24"/>
          <w:szCs w:val="24"/>
          <w:lang w:val="ro-RO"/>
        </w:rPr>
        <w:t>ICFEp</w:t>
      </w:r>
      <w:proofErr w:type="spellEnd"/>
      <w:r w:rsidRPr="007E69D6">
        <w:rPr>
          <w:rFonts w:ascii="Times New Roman" w:eastAsia="Times New Roman" w:hAnsi="Times New Roman"/>
          <w:sz w:val="24"/>
          <w:szCs w:val="24"/>
          <w:lang w:val="ro-RO"/>
        </w:rPr>
        <w:t xml:space="preserve">) , numărul cărora a crescut cu 23% și 12%, p&lt;0,001. La </w:t>
      </w:r>
      <w:proofErr w:type="spellStart"/>
      <w:r w:rsidRPr="007E69D6">
        <w:rPr>
          <w:rFonts w:ascii="Times New Roman" w:eastAsia="Times New Roman" w:hAnsi="Times New Roman"/>
          <w:sz w:val="24"/>
          <w:szCs w:val="24"/>
          <w:lang w:val="ro-RO"/>
        </w:rPr>
        <w:t>pct</w:t>
      </w:r>
      <w:proofErr w:type="spellEnd"/>
      <w:r w:rsidRPr="007E69D6">
        <w:rPr>
          <w:rFonts w:ascii="Times New Roman" w:eastAsia="Times New Roman" w:hAnsi="Times New Roman"/>
          <w:sz w:val="24"/>
          <w:szCs w:val="24"/>
          <w:lang w:val="ro-RO"/>
        </w:rPr>
        <w:t xml:space="preserve"> din gr.1 (</w:t>
      </w:r>
      <w:proofErr w:type="spellStart"/>
      <w:r w:rsidRPr="007E69D6">
        <w:rPr>
          <w:rFonts w:ascii="Times New Roman" w:eastAsia="Times New Roman" w:hAnsi="Times New Roman"/>
          <w:sz w:val="24"/>
          <w:szCs w:val="24"/>
          <w:lang w:val="ro-RO"/>
        </w:rPr>
        <w:t>ICFEr</w:t>
      </w:r>
      <w:proofErr w:type="spellEnd"/>
      <w:r w:rsidRPr="007E69D6">
        <w:rPr>
          <w:rFonts w:ascii="Times New Roman" w:eastAsia="Times New Roman" w:hAnsi="Times New Roman"/>
          <w:sz w:val="24"/>
          <w:szCs w:val="24"/>
          <w:lang w:val="ro-RO"/>
        </w:rPr>
        <w:t xml:space="preserve">) nu s-au produs schimbări  ale tabloului clinic al IC cu toate că peste 3 luni după episodul acut cardiac funcția de pompă s-a ameliorat la 35% </w:t>
      </w:r>
      <w:proofErr w:type="spellStart"/>
      <w:r w:rsidRPr="007E69D6">
        <w:rPr>
          <w:rFonts w:ascii="Times New Roman" w:eastAsia="Times New Roman" w:hAnsi="Times New Roman"/>
          <w:sz w:val="24"/>
          <w:szCs w:val="24"/>
          <w:lang w:val="ro-RO"/>
        </w:rPr>
        <w:t>pct</w:t>
      </w:r>
      <w:proofErr w:type="spellEnd"/>
      <w:r w:rsidRPr="007E69D6">
        <w:rPr>
          <w:rFonts w:ascii="Times New Roman" w:eastAsia="Times New Roman" w:hAnsi="Times New Roman"/>
          <w:sz w:val="24"/>
          <w:szCs w:val="24"/>
          <w:lang w:val="ro-RO"/>
        </w:rPr>
        <w:t xml:space="preserve">, la fel ca și la 27% </w:t>
      </w:r>
      <w:proofErr w:type="spellStart"/>
      <w:r w:rsidRPr="007E69D6">
        <w:rPr>
          <w:rFonts w:ascii="Times New Roman" w:eastAsia="Times New Roman" w:hAnsi="Times New Roman"/>
          <w:sz w:val="24"/>
          <w:szCs w:val="24"/>
          <w:lang w:val="ro-RO"/>
        </w:rPr>
        <w:t>pct</w:t>
      </w:r>
      <w:proofErr w:type="spellEnd"/>
      <w:r w:rsidRPr="007E69D6">
        <w:rPr>
          <w:rFonts w:ascii="Times New Roman" w:eastAsia="Times New Roman" w:hAnsi="Times New Roman"/>
          <w:sz w:val="24"/>
          <w:szCs w:val="24"/>
          <w:lang w:val="ro-RO"/>
        </w:rPr>
        <w:t xml:space="preserve"> din gr.2, p&lt;0,001. </w:t>
      </w:r>
      <w:r w:rsidRPr="007E69D6">
        <w:rPr>
          <w:rFonts w:ascii="Times New Roman" w:eastAsia="Times New Roman" w:hAnsi="Times New Roman"/>
          <w:i/>
          <w:sz w:val="24"/>
          <w:szCs w:val="24"/>
          <w:lang w:val="ro-RO"/>
        </w:rPr>
        <w:t>Scorul de risc rezidual SMART</w:t>
      </w:r>
      <w:r w:rsidRPr="007E69D6">
        <w:rPr>
          <w:rFonts w:ascii="Times New Roman" w:eastAsia="Times New Roman" w:hAnsi="Times New Roman"/>
          <w:sz w:val="24"/>
          <w:szCs w:val="24"/>
          <w:lang w:val="ro-RO"/>
        </w:rPr>
        <w:t xml:space="preserve"> la externare în lotul general se apreciază  ca fiind moderat (risc de evenimente repetate sau deces 10&lt;20%) - la 48% </w:t>
      </w:r>
      <w:proofErr w:type="spellStart"/>
      <w:r w:rsidRPr="007E69D6">
        <w:rPr>
          <w:rFonts w:ascii="Times New Roman" w:eastAsia="Times New Roman" w:hAnsi="Times New Roman"/>
          <w:sz w:val="24"/>
          <w:szCs w:val="24"/>
          <w:lang w:val="ro-RO"/>
        </w:rPr>
        <w:t>pct</w:t>
      </w:r>
      <w:proofErr w:type="spellEnd"/>
      <w:r w:rsidRPr="007E69D6">
        <w:rPr>
          <w:rFonts w:ascii="Times New Roman" w:eastAsia="Times New Roman" w:hAnsi="Times New Roman"/>
          <w:sz w:val="24"/>
          <w:szCs w:val="24"/>
          <w:lang w:val="ro-RO"/>
        </w:rPr>
        <w:t xml:space="preserve">, înalt (20&lt;30%) – la 25% </w:t>
      </w:r>
      <w:proofErr w:type="spellStart"/>
      <w:r w:rsidRPr="007E69D6">
        <w:rPr>
          <w:rFonts w:ascii="Times New Roman" w:eastAsia="Times New Roman" w:hAnsi="Times New Roman"/>
          <w:sz w:val="24"/>
          <w:szCs w:val="24"/>
          <w:lang w:val="ro-RO"/>
        </w:rPr>
        <w:t>pct</w:t>
      </w:r>
      <w:proofErr w:type="spellEnd"/>
      <w:r w:rsidRPr="007E69D6">
        <w:rPr>
          <w:rFonts w:ascii="Times New Roman" w:eastAsia="Times New Roman" w:hAnsi="Times New Roman"/>
          <w:sz w:val="24"/>
          <w:szCs w:val="24"/>
          <w:lang w:val="ro-RO"/>
        </w:rPr>
        <w:t xml:space="preserve"> și foarte înalt (30&lt;40%)-la 24%pct. Peste 3 luni a crescut puțin nr. celor cu risc minim (&lt;10%) de la 2,9% la 6,8% </w:t>
      </w:r>
      <w:proofErr w:type="spellStart"/>
      <w:r w:rsidRPr="007E69D6">
        <w:rPr>
          <w:rFonts w:ascii="Times New Roman" w:eastAsia="Times New Roman" w:hAnsi="Times New Roman"/>
          <w:sz w:val="24"/>
          <w:szCs w:val="24"/>
          <w:lang w:val="ro-RO"/>
        </w:rPr>
        <w:t>pct</w:t>
      </w:r>
      <w:proofErr w:type="spellEnd"/>
      <w:r w:rsidRPr="007E69D6">
        <w:rPr>
          <w:rFonts w:ascii="Times New Roman" w:eastAsia="Times New Roman" w:hAnsi="Times New Roman"/>
          <w:sz w:val="24"/>
          <w:szCs w:val="24"/>
          <w:lang w:val="ro-RO"/>
        </w:rPr>
        <w:t xml:space="preserve"> din contul reducerii numărului celor cu risc moderat (de la 48% la 41%pct). Modificarea riscului spre reducerea lui s-a produs din contul pacienților  cu fenotipul </w:t>
      </w:r>
      <w:proofErr w:type="spellStart"/>
      <w:r w:rsidRPr="007E69D6">
        <w:rPr>
          <w:rFonts w:ascii="Times New Roman" w:eastAsia="Times New Roman" w:hAnsi="Times New Roman"/>
          <w:sz w:val="24"/>
          <w:szCs w:val="24"/>
          <w:lang w:val="ro-RO"/>
        </w:rPr>
        <w:t>ICFEr</w:t>
      </w:r>
      <w:proofErr w:type="spellEnd"/>
      <w:r w:rsidRPr="007E69D6">
        <w:rPr>
          <w:rFonts w:ascii="Times New Roman" w:eastAsia="Times New Roman" w:hAnsi="Times New Roman"/>
          <w:sz w:val="24"/>
          <w:szCs w:val="24"/>
          <w:lang w:val="ro-RO"/>
        </w:rPr>
        <w:t xml:space="preserve"> și </w:t>
      </w:r>
      <w:proofErr w:type="spellStart"/>
      <w:r w:rsidRPr="007E69D6">
        <w:rPr>
          <w:rFonts w:ascii="Times New Roman" w:eastAsia="Times New Roman" w:hAnsi="Times New Roman"/>
          <w:sz w:val="24"/>
          <w:szCs w:val="24"/>
          <w:lang w:val="ro-RO"/>
        </w:rPr>
        <w:t>ICFEur</w:t>
      </w:r>
      <w:proofErr w:type="spellEnd"/>
      <w:r w:rsidRPr="007E69D6">
        <w:rPr>
          <w:rFonts w:ascii="Times New Roman" w:eastAsia="Times New Roman" w:hAnsi="Times New Roman"/>
          <w:sz w:val="24"/>
          <w:szCs w:val="24"/>
          <w:lang w:val="ro-RO"/>
        </w:rPr>
        <w:t xml:space="preserve">, dar toate fără semnificație statistică. Numărul pacienților cu risc înalt și foarte înalt a rămas neschimbat (25% si 27%). </w:t>
      </w:r>
      <w:r w:rsidRPr="007E69D6">
        <w:rPr>
          <w:rFonts w:ascii="Times New Roman" w:eastAsia="Times New Roman" w:hAnsi="Times New Roman"/>
          <w:i/>
          <w:sz w:val="24"/>
          <w:szCs w:val="24"/>
          <w:lang w:val="ro-RO"/>
        </w:rPr>
        <w:t>Analiza spitalizărilor</w:t>
      </w:r>
      <w:r w:rsidRPr="007E69D6">
        <w:rPr>
          <w:rFonts w:ascii="Times New Roman" w:eastAsia="Times New Roman" w:hAnsi="Times New Roman"/>
          <w:sz w:val="24"/>
          <w:szCs w:val="24"/>
          <w:lang w:val="ro-RO"/>
        </w:rPr>
        <w:t xml:space="preserve"> repetate pe perioada de reabilitare ambulatorie precoce atât totale cât și de cauze cardiovasculare denotă diferențe semnificative în raport cu tipul </w:t>
      </w:r>
      <w:proofErr w:type="spellStart"/>
      <w:r w:rsidRPr="007E69D6">
        <w:rPr>
          <w:rFonts w:ascii="Times New Roman" w:eastAsia="Times New Roman" w:hAnsi="Times New Roman"/>
          <w:sz w:val="24"/>
          <w:szCs w:val="24"/>
          <w:lang w:val="ro-RO"/>
        </w:rPr>
        <w:t>revascularizării</w:t>
      </w:r>
      <w:proofErr w:type="spellEnd"/>
      <w:r w:rsidRPr="007E69D6">
        <w:rPr>
          <w:rFonts w:ascii="Times New Roman" w:eastAsia="Times New Roman" w:hAnsi="Times New Roman"/>
          <w:sz w:val="24"/>
          <w:szCs w:val="24"/>
          <w:lang w:val="ro-RO"/>
        </w:rPr>
        <w:t xml:space="preserve">, fiind mai frecvente la pacienții cu infarct miocardic acut si </w:t>
      </w:r>
      <w:proofErr w:type="spellStart"/>
      <w:r w:rsidRPr="007E69D6">
        <w:rPr>
          <w:rFonts w:ascii="Times New Roman" w:eastAsia="Times New Roman" w:hAnsi="Times New Roman"/>
          <w:sz w:val="24"/>
          <w:szCs w:val="24"/>
          <w:lang w:val="ro-RO"/>
        </w:rPr>
        <w:t>revascularizare</w:t>
      </w:r>
      <w:proofErr w:type="spellEnd"/>
      <w:r w:rsidRPr="007E69D6">
        <w:rPr>
          <w:rFonts w:ascii="Times New Roman" w:eastAsia="Times New Roman" w:hAnsi="Times New Roman"/>
          <w:sz w:val="24"/>
          <w:szCs w:val="24"/>
          <w:lang w:val="ro-RO"/>
        </w:rPr>
        <w:t xml:space="preserve"> PTCI comparativ cu pacienții după operații pe cord,  p&lt;0,05. Analiza incidenței spitalizărilor în raport cu </w:t>
      </w:r>
      <w:proofErr w:type="spellStart"/>
      <w:r w:rsidRPr="007E69D6">
        <w:rPr>
          <w:rFonts w:ascii="Times New Roman" w:eastAsia="Times New Roman" w:hAnsi="Times New Roman"/>
          <w:sz w:val="24"/>
          <w:szCs w:val="24"/>
          <w:lang w:val="ro-RO"/>
        </w:rPr>
        <w:t>frnotipul</w:t>
      </w:r>
      <w:proofErr w:type="spellEnd"/>
      <w:r w:rsidRPr="007E69D6">
        <w:rPr>
          <w:rFonts w:ascii="Times New Roman" w:eastAsia="Times New Roman" w:hAnsi="Times New Roman"/>
          <w:sz w:val="24"/>
          <w:szCs w:val="24"/>
          <w:lang w:val="ro-RO"/>
        </w:rPr>
        <w:t xml:space="preserve"> insuficienței cardiace este în descreștere de la grupul  </w:t>
      </w:r>
      <w:proofErr w:type="spellStart"/>
      <w:r w:rsidRPr="007E69D6">
        <w:rPr>
          <w:rFonts w:ascii="Times New Roman" w:eastAsia="Times New Roman" w:hAnsi="Times New Roman"/>
          <w:sz w:val="24"/>
          <w:szCs w:val="24"/>
          <w:lang w:val="ro-RO"/>
        </w:rPr>
        <w:t>ICFEr</w:t>
      </w:r>
      <w:proofErr w:type="spellEnd"/>
      <w:r w:rsidRPr="007E69D6">
        <w:rPr>
          <w:rFonts w:ascii="Times New Roman" w:eastAsia="Times New Roman" w:hAnsi="Times New Roman"/>
          <w:sz w:val="24"/>
          <w:szCs w:val="24"/>
          <w:lang w:val="ro-RO"/>
        </w:rPr>
        <w:t xml:space="preserve"> către </w:t>
      </w:r>
      <w:proofErr w:type="spellStart"/>
      <w:r w:rsidRPr="007E69D6">
        <w:rPr>
          <w:rFonts w:ascii="Times New Roman" w:eastAsia="Times New Roman" w:hAnsi="Times New Roman"/>
          <w:sz w:val="24"/>
          <w:szCs w:val="24"/>
          <w:lang w:val="ro-RO"/>
        </w:rPr>
        <w:t>ICFEur</w:t>
      </w:r>
      <w:proofErr w:type="spellEnd"/>
      <w:r w:rsidRPr="007E69D6">
        <w:rPr>
          <w:rFonts w:ascii="Times New Roman" w:eastAsia="Times New Roman" w:hAnsi="Times New Roman"/>
          <w:sz w:val="24"/>
          <w:szCs w:val="24"/>
          <w:lang w:val="ro-RO"/>
        </w:rPr>
        <w:t xml:space="preserve"> și </w:t>
      </w:r>
      <w:proofErr w:type="spellStart"/>
      <w:r w:rsidRPr="007E69D6">
        <w:rPr>
          <w:rFonts w:ascii="Times New Roman" w:eastAsia="Times New Roman" w:hAnsi="Times New Roman"/>
          <w:sz w:val="24"/>
          <w:szCs w:val="24"/>
          <w:lang w:val="ro-RO"/>
        </w:rPr>
        <w:t>ICFEp</w:t>
      </w:r>
      <w:proofErr w:type="spellEnd"/>
      <w:r w:rsidRPr="007E69D6">
        <w:rPr>
          <w:rFonts w:ascii="Times New Roman" w:eastAsia="Times New Roman" w:hAnsi="Times New Roman"/>
          <w:sz w:val="24"/>
          <w:szCs w:val="24"/>
          <w:lang w:val="ro-RO"/>
        </w:rPr>
        <w:t xml:space="preserve">. </w:t>
      </w:r>
      <w:r w:rsidRPr="007E69D6">
        <w:rPr>
          <w:rFonts w:ascii="Times New Roman" w:hAnsi="Times New Roman"/>
          <w:bCs/>
          <w:i/>
          <w:kern w:val="32"/>
          <w:sz w:val="24"/>
          <w:szCs w:val="24"/>
          <w:lang w:val="ro-RO"/>
        </w:rPr>
        <w:t>Concluzii.</w:t>
      </w:r>
      <w:r w:rsidRPr="007E69D6">
        <w:rPr>
          <w:rFonts w:ascii="Times New Roman" w:hAnsi="Times New Roman"/>
          <w:bCs/>
          <w:kern w:val="32"/>
          <w:sz w:val="24"/>
          <w:szCs w:val="24"/>
          <w:lang w:val="ro-RO"/>
        </w:rPr>
        <w:t xml:space="preserve"> 1.Insuficiența cardiacă are o tendință spre reducere neuniformă a manifestărilor clinice </w:t>
      </w:r>
      <w:r w:rsidRPr="007E69D6">
        <w:rPr>
          <w:rFonts w:ascii="Times New Roman" w:hAnsi="Times New Roman"/>
          <w:bCs/>
          <w:kern w:val="32"/>
          <w:sz w:val="24"/>
          <w:szCs w:val="24"/>
          <w:lang w:val="ro-RO"/>
        </w:rPr>
        <w:lastRenderedPageBreak/>
        <w:t xml:space="preserve">în perioada de reabilitare ambulatorie în faza precoce după evenimentele cardiovasculare acute – operații pe cord si infarct miocardic acut și </w:t>
      </w:r>
      <w:proofErr w:type="spellStart"/>
      <w:r w:rsidRPr="007E69D6">
        <w:rPr>
          <w:rFonts w:ascii="Times New Roman" w:hAnsi="Times New Roman"/>
          <w:bCs/>
          <w:kern w:val="32"/>
          <w:sz w:val="24"/>
          <w:szCs w:val="24"/>
          <w:lang w:val="ro-RO"/>
        </w:rPr>
        <w:t>revascularizare</w:t>
      </w:r>
      <w:proofErr w:type="spellEnd"/>
      <w:r w:rsidRPr="007E69D6">
        <w:rPr>
          <w:rFonts w:ascii="Times New Roman" w:hAnsi="Times New Roman"/>
          <w:bCs/>
          <w:kern w:val="32"/>
          <w:sz w:val="24"/>
          <w:szCs w:val="24"/>
          <w:lang w:val="ro-RO"/>
        </w:rPr>
        <w:t xml:space="preserve"> prin PTCI. 2). Riscul rezidual SMART se menține în medie la majoritatea pacienților la nivel moderat (22%-24%), având fluctuații nesemnificative spre micșorare sau majorare. 3) Rata spitalizărilor repetate a fost mai mare la pacienții după infarct miocardic comparativ cu persoanele după operații cardiace.</w:t>
      </w:r>
    </w:p>
    <w:p w:rsidR="009E489D" w:rsidRDefault="009E489D" w:rsidP="00180306">
      <w:pPr>
        <w:spacing w:line="276" w:lineRule="auto"/>
        <w:jc w:val="both"/>
        <w:rPr>
          <w:lang w:val="ro-RO"/>
        </w:rPr>
      </w:pPr>
    </w:p>
    <w:p w:rsidR="00180306" w:rsidRDefault="00E76329" w:rsidP="00180306">
      <w:pPr>
        <w:spacing w:line="276" w:lineRule="auto"/>
        <w:jc w:val="both"/>
        <w:rPr>
          <w:rFonts w:ascii="Times New Roman" w:hAnsi="Times New Roman"/>
          <w:b/>
          <w:sz w:val="24"/>
          <w:szCs w:val="24"/>
          <w:lang w:val="ro-MD"/>
        </w:rPr>
      </w:pPr>
      <w:proofErr w:type="spellStart"/>
      <w:r w:rsidRPr="00D90135">
        <w:rPr>
          <w:rFonts w:ascii="Times New Roman" w:hAnsi="Times New Roman"/>
          <w:b/>
          <w:sz w:val="24"/>
          <w:szCs w:val="24"/>
          <w:lang w:val="ro-MD"/>
        </w:rPr>
        <w:t>Summary</w:t>
      </w:r>
      <w:proofErr w:type="spellEnd"/>
    </w:p>
    <w:p w:rsidR="00AC3A57" w:rsidRPr="00D774CE" w:rsidRDefault="00AC3A57" w:rsidP="00DA63B1">
      <w:pPr>
        <w:spacing w:after="0" w:line="276" w:lineRule="auto"/>
        <w:jc w:val="both"/>
        <w:rPr>
          <w:rFonts w:ascii="Times New Roman" w:hAnsi="Times New Roman"/>
          <w:sz w:val="24"/>
          <w:szCs w:val="24"/>
          <w:lang w:val="en"/>
        </w:rPr>
      </w:pPr>
      <w:r w:rsidRPr="00D774CE">
        <w:rPr>
          <w:rFonts w:ascii="Times New Roman" w:hAnsi="Times New Roman"/>
          <w:i/>
          <w:iCs/>
          <w:sz w:val="24"/>
          <w:szCs w:val="24"/>
          <w:lang w:val="en"/>
        </w:rPr>
        <w:t>The aim of the 2022 annual phase</w:t>
      </w:r>
      <w:r w:rsidRPr="00D774CE">
        <w:rPr>
          <w:rFonts w:ascii="Times New Roman" w:hAnsi="Times New Roman"/>
          <w:sz w:val="24"/>
          <w:szCs w:val="24"/>
          <w:lang w:val="en"/>
        </w:rPr>
        <w:t xml:space="preserve"> was to perform the complex study on the postoperative reversibility of cardiac structural abnormalities and heart failure (HF) syndrome during unsupervised early ambulatory rehabilitation period at home after an acute cardiovascular event.</w:t>
      </w:r>
    </w:p>
    <w:p w:rsidR="00E76329" w:rsidRPr="006A2FB0" w:rsidRDefault="00AC3A57" w:rsidP="00AC3A57">
      <w:pPr>
        <w:spacing w:line="276" w:lineRule="auto"/>
        <w:jc w:val="both"/>
        <w:rPr>
          <w:lang w:val="ro-RO"/>
        </w:rPr>
      </w:pPr>
      <w:r w:rsidRPr="00D774CE">
        <w:rPr>
          <w:rFonts w:ascii="Times New Roman" w:hAnsi="Times New Roman"/>
          <w:i/>
          <w:iCs/>
          <w:sz w:val="24"/>
          <w:szCs w:val="24"/>
          <w:lang w:val="en"/>
        </w:rPr>
        <w:t>Material and methods.</w:t>
      </w:r>
      <w:r w:rsidRPr="00D774CE">
        <w:rPr>
          <w:rFonts w:ascii="Times New Roman" w:hAnsi="Times New Roman"/>
          <w:sz w:val="24"/>
          <w:szCs w:val="24"/>
          <w:lang w:val="en"/>
        </w:rPr>
        <w:t xml:space="preserve"> 206 patients (pts) with ischemic heart disease consecutively discharged from the rehabilitation department of the IMSP Institute of Cardiology clinic were invited to a repeat outpatient examination. Group 1 included 120 pts after open heart operations with an average age of 63.3±0.74 years and group 2 included 86 pts after percutaneous transluminal coronary angioplasty (PTCA) with coronary stent implantation and acute myocardial infarction, mean age of which were 62.0±1.11. The general group was formed by 171 (83%) men and 17 (35%) women. All patients were investigated at 2 stages: T2 – at the moment of discharge from the clinic and T3 – 3 months after the acute event. There were no significant differences between group mean values ​​in relation to heart failure parameters, ejection fraction (EF) and serum concentration of the HF marker - natriuretic peptide NT-</w:t>
      </w:r>
      <w:proofErr w:type="spellStart"/>
      <w:r w:rsidRPr="00D774CE">
        <w:rPr>
          <w:rFonts w:ascii="Times New Roman" w:hAnsi="Times New Roman"/>
          <w:sz w:val="24"/>
          <w:szCs w:val="24"/>
          <w:lang w:val="en"/>
        </w:rPr>
        <w:t>proBNP</w:t>
      </w:r>
      <w:proofErr w:type="spellEnd"/>
      <w:r w:rsidRPr="00D774CE">
        <w:rPr>
          <w:rFonts w:ascii="Times New Roman" w:hAnsi="Times New Roman"/>
          <w:sz w:val="24"/>
          <w:szCs w:val="24"/>
          <w:lang w:val="en"/>
        </w:rPr>
        <w:t xml:space="preserve"> at T2 stage. But the evolution of the HF phenotype highlighted the improvement of EF in 13.3% pts and the worsening - in 5.5% pts of group 1 compared to 24.4% and 2.3% of group 2 (p=0.02), and in 80.8% and 73.3% EF remained unchanged. NT-</w:t>
      </w:r>
      <w:proofErr w:type="spellStart"/>
      <w:r w:rsidRPr="00D774CE">
        <w:rPr>
          <w:rFonts w:ascii="Times New Roman" w:hAnsi="Times New Roman"/>
          <w:sz w:val="24"/>
          <w:szCs w:val="24"/>
          <w:lang w:val="en"/>
        </w:rPr>
        <w:t>proBNP</w:t>
      </w:r>
      <w:proofErr w:type="spellEnd"/>
      <w:r w:rsidRPr="00D774CE">
        <w:rPr>
          <w:rFonts w:ascii="Times New Roman" w:hAnsi="Times New Roman"/>
          <w:sz w:val="24"/>
          <w:szCs w:val="24"/>
          <w:lang w:val="en"/>
        </w:rPr>
        <w:t xml:space="preserve"> levels decreased insignificantly in both groups, proving the persistence of the HF syndrome. Clinical changes in heart failure were assessed in three groups of patients with different HF phenotypes: gr. 1 – HF with reduced ejection fraction (</w:t>
      </w:r>
      <w:proofErr w:type="spellStart"/>
      <w:r w:rsidRPr="00D774CE">
        <w:rPr>
          <w:rFonts w:ascii="Times New Roman" w:hAnsi="Times New Roman"/>
          <w:sz w:val="24"/>
          <w:szCs w:val="24"/>
          <w:lang w:val="en"/>
        </w:rPr>
        <w:t>HFrEF</w:t>
      </w:r>
      <w:proofErr w:type="spellEnd"/>
      <w:r w:rsidRPr="00D774CE">
        <w:rPr>
          <w:rFonts w:ascii="Times New Roman" w:hAnsi="Times New Roman"/>
          <w:sz w:val="24"/>
          <w:szCs w:val="24"/>
          <w:lang w:val="en"/>
        </w:rPr>
        <w:t>) gr. 2 – HF with mildly reduced ejection fraction (</w:t>
      </w:r>
      <w:proofErr w:type="spellStart"/>
      <w:r w:rsidRPr="00D774CE">
        <w:rPr>
          <w:rFonts w:ascii="Times New Roman" w:hAnsi="Times New Roman"/>
          <w:sz w:val="24"/>
          <w:szCs w:val="24"/>
          <w:lang w:val="en"/>
        </w:rPr>
        <w:t>HFmrEF</w:t>
      </w:r>
      <w:proofErr w:type="spellEnd"/>
      <w:r w:rsidRPr="00D774CE">
        <w:rPr>
          <w:rFonts w:ascii="Times New Roman" w:hAnsi="Times New Roman"/>
          <w:sz w:val="24"/>
          <w:szCs w:val="24"/>
          <w:lang w:val="en"/>
        </w:rPr>
        <w:t>) and gr.3 – HF with preserved ejection fraction (</w:t>
      </w:r>
      <w:proofErr w:type="spellStart"/>
      <w:r w:rsidRPr="00D774CE">
        <w:rPr>
          <w:rFonts w:ascii="Times New Roman" w:hAnsi="Times New Roman"/>
          <w:sz w:val="24"/>
          <w:szCs w:val="24"/>
          <w:lang w:val="en"/>
        </w:rPr>
        <w:t>HFpEF</w:t>
      </w:r>
      <w:proofErr w:type="spellEnd"/>
      <w:r w:rsidRPr="00D774CE">
        <w:rPr>
          <w:rFonts w:ascii="Times New Roman" w:hAnsi="Times New Roman"/>
          <w:sz w:val="24"/>
          <w:szCs w:val="24"/>
          <w:lang w:val="en"/>
        </w:rPr>
        <w:t>). At stage T3 the HF stage in the general group, assessed by clinical examination, progressed from stage B – non-congestive to stage C – congestive especially on the base of gr.2 and gr.3 (</w:t>
      </w:r>
      <w:proofErr w:type="spellStart"/>
      <w:r w:rsidRPr="00D774CE">
        <w:rPr>
          <w:rFonts w:ascii="Times New Roman" w:hAnsi="Times New Roman"/>
          <w:sz w:val="24"/>
          <w:szCs w:val="24"/>
          <w:lang w:val="en"/>
        </w:rPr>
        <w:t>HFmrEF</w:t>
      </w:r>
      <w:proofErr w:type="spellEnd"/>
      <w:r w:rsidRPr="00D774CE">
        <w:rPr>
          <w:rFonts w:ascii="Times New Roman" w:hAnsi="Times New Roman"/>
          <w:sz w:val="24"/>
          <w:szCs w:val="24"/>
          <w:lang w:val="en"/>
        </w:rPr>
        <w:t xml:space="preserve"> and </w:t>
      </w:r>
      <w:proofErr w:type="spellStart"/>
      <w:r w:rsidRPr="00D774CE">
        <w:rPr>
          <w:rFonts w:ascii="Times New Roman" w:hAnsi="Times New Roman"/>
          <w:sz w:val="24"/>
          <w:szCs w:val="24"/>
          <w:lang w:val="en"/>
        </w:rPr>
        <w:t>HFpEF</w:t>
      </w:r>
      <w:proofErr w:type="spellEnd"/>
      <w:r w:rsidRPr="00D774CE">
        <w:rPr>
          <w:rFonts w:ascii="Times New Roman" w:hAnsi="Times New Roman"/>
          <w:sz w:val="24"/>
          <w:szCs w:val="24"/>
          <w:lang w:val="en"/>
        </w:rPr>
        <w:t>), the number of which increased by 23% and 12% (p&lt;0.001). In the group 1 (</w:t>
      </w:r>
      <w:proofErr w:type="spellStart"/>
      <w:r w:rsidRPr="00D774CE">
        <w:rPr>
          <w:rFonts w:ascii="Times New Roman" w:hAnsi="Times New Roman"/>
          <w:sz w:val="24"/>
          <w:szCs w:val="24"/>
          <w:lang w:val="en"/>
        </w:rPr>
        <w:t>HFrEF</w:t>
      </w:r>
      <w:proofErr w:type="spellEnd"/>
      <w:r w:rsidRPr="00D774CE">
        <w:rPr>
          <w:rFonts w:ascii="Times New Roman" w:hAnsi="Times New Roman"/>
          <w:sz w:val="24"/>
          <w:szCs w:val="24"/>
          <w:lang w:val="en"/>
        </w:rPr>
        <w:t xml:space="preserve">), there were no changes in the clinical picture of HF, although over 3 months after the acute cardiac episode, the pump function improved at 35% of pts, as well as in 27% of pts from gr.2 (p&lt;0.001). The SMART residual risk score at discharge in the general group is assessed as moderate (risk of repeated events or death 10 &lt; 20%) - at 48% of pts, high (20&lt;30%) - at 25% of pts and very high (30 &lt;40%)- at 24% of pts. Over 3 months, the number of those with minimal risk (&lt;10%) increased slightly from 2.9% to 6.8% pts. due to the reduction in the number of those with moderate risk (from 48% to 41% of pts). The modification of the risk towards its reduction occurred on the base of patients with the </w:t>
      </w:r>
      <w:proofErr w:type="spellStart"/>
      <w:r w:rsidRPr="00D774CE">
        <w:rPr>
          <w:rFonts w:ascii="Times New Roman" w:hAnsi="Times New Roman"/>
          <w:sz w:val="24"/>
          <w:szCs w:val="24"/>
          <w:lang w:val="en"/>
        </w:rPr>
        <w:t>HFrEF</w:t>
      </w:r>
      <w:proofErr w:type="spellEnd"/>
      <w:r w:rsidRPr="00D774CE">
        <w:rPr>
          <w:rFonts w:ascii="Times New Roman" w:hAnsi="Times New Roman"/>
          <w:sz w:val="24"/>
          <w:szCs w:val="24"/>
          <w:lang w:val="en"/>
        </w:rPr>
        <w:t xml:space="preserve"> and </w:t>
      </w:r>
      <w:proofErr w:type="spellStart"/>
      <w:r w:rsidRPr="00D774CE">
        <w:rPr>
          <w:rFonts w:ascii="Times New Roman" w:hAnsi="Times New Roman"/>
          <w:sz w:val="24"/>
          <w:szCs w:val="24"/>
          <w:lang w:val="en"/>
        </w:rPr>
        <w:t>HFmrEF</w:t>
      </w:r>
      <w:proofErr w:type="spellEnd"/>
      <w:r w:rsidRPr="00D774CE">
        <w:rPr>
          <w:rFonts w:ascii="Times New Roman" w:hAnsi="Times New Roman"/>
          <w:sz w:val="24"/>
          <w:szCs w:val="24"/>
          <w:lang w:val="en"/>
        </w:rPr>
        <w:t xml:space="preserve"> phenotype, but all without statistical significance. The number of high and very high risk patients remained unchanged (25% and 27% respectively). </w:t>
      </w:r>
      <w:r w:rsidRPr="00D774CE">
        <w:rPr>
          <w:rFonts w:ascii="Times New Roman" w:hAnsi="Times New Roman"/>
          <w:i/>
          <w:iCs/>
          <w:sz w:val="24"/>
          <w:szCs w:val="24"/>
          <w:lang w:val="en"/>
        </w:rPr>
        <w:t>The analysis of repeated hospitalizations</w:t>
      </w:r>
      <w:r w:rsidRPr="00D774CE">
        <w:rPr>
          <w:rFonts w:ascii="Times New Roman" w:hAnsi="Times New Roman"/>
          <w:sz w:val="24"/>
          <w:szCs w:val="24"/>
          <w:lang w:val="en"/>
        </w:rPr>
        <w:t xml:space="preserve"> during the period of early ambulatory rehabilitation, both for all-cause and for cardiovascular causes, shows significant differences in relation to the type of revascularization, being more frequent in patients with acute myocardial infarction and PTCA compared to patients after heart surgery (p&lt;0.05). The analysis of the incidence of hospitalizations in relation to the </w:t>
      </w:r>
      <w:proofErr w:type="spellStart"/>
      <w:r w:rsidRPr="00D774CE">
        <w:rPr>
          <w:rFonts w:ascii="Times New Roman" w:hAnsi="Times New Roman"/>
          <w:sz w:val="24"/>
          <w:szCs w:val="24"/>
          <w:lang w:val="en"/>
        </w:rPr>
        <w:t>fenotype</w:t>
      </w:r>
      <w:proofErr w:type="spellEnd"/>
      <w:r w:rsidRPr="00D774CE">
        <w:rPr>
          <w:rFonts w:ascii="Times New Roman" w:hAnsi="Times New Roman"/>
          <w:sz w:val="24"/>
          <w:szCs w:val="24"/>
          <w:lang w:val="en"/>
        </w:rPr>
        <w:t xml:space="preserve"> of heart failure is decreasing from the </w:t>
      </w:r>
      <w:proofErr w:type="spellStart"/>
      <w:r w:rsidRPr="00D774CE">
        <w:rPr>
          <w:rFonts w:ascii="Times New Roman" w:hAnsi="Times New Roman"/>
          <w:sz w:val="24"/>
          <w:szCs w:val="24"/>
          <w:lang w:val="en"/>
        </w:rPr>
        <w:t>HFrEF</w:t>
      </w:r>
      <w:proofErr w:type="spellEnd"/>
      <w:r w:rsidRPr="00D774CE">
        <w:rPr>
          <w:rFonts w:ascii="Times New Roman" w:hAnsi="Times New Roman"/>
          <w:sz w:val="24"/>
          <w:szCs w:val="24"/>
          <w:lang w:val="en"/>
        </w:rPr>
        <w:t xml:space="preserve"> group to </w:t>
      </w:r>
      <w:proofErr w:type="spellStart"/>
      <w:r w:rsidRPr="00D774CE">
        <w:rPr>
          <w:rFonts w:ascii="Times New Roman" w:hAnsi="Times New Roman"/>
          <w:sz w:val="24"/>
          <w:szCs w:val="24"/>
          <w:lang w:val="en"/>
        </w:rPr>
        <w:t>HFmrEF</w:t>
      </w:r>
      <w:proofErr w:type="spellEnd"/>
      <w:r w:rsidRPr="00D774CE">
        <w:rPr>
          <w:rFonts w:ascii="Times New Roman" w:hAnsi="Times New Roman"/>
          <w:sz w:val="24"/>
          <w:szCs w:val="24"/>
          <w:lang w:val="en"/>
        </w:rPr>
        <w:t xml:space="preserve"> and </w:t>
      </w:r>
      <w:proofErr w:type="spellStart"/>
      <w:r w:rsidRPr="00D774CE">
        <w:rPr>
          <w:rFonts w:ascii="Times New Roman" w:hAnsi="Times New Roman"/>
          <w:sz w:val="24"/>
          <w:szCs w:val="24"/>
          <w:lang w:val="en"/>
        </w:rPr>
        <w:t>HFpEF</w:t>
      </w:r>
      <w:proofErr w:type="spellEnd"/>
      <w:r w:rsidRPr="00D774CE">
        <w:rPr>
          <w:rFonts w:ascii="Times New Roman" w:hAnsi="Times New Roman"/>
          <w:sz w:val="24"/>
          <w:szCs w:val="24"/>
          <w:lang w:val="en"/>
        </w:rPr>
        <w:t xml:space="preserve">. </w:t>
      </w:r>
      <w:r w:rsidRPr="00D774CE">
        <w:rPr>
          <w:rFonts w:ascii="Times New Roman" w:hAnsi="Times New Roman"/>
          <w:i/>
          <w:iCs/>
          <w:sz w:val="24"/>
          <w:szCs w:val="24"/>
          <w:lang w:val="en"/>
        </w:rPr>
        <w:t xml:space="preserve">Conclusions. </w:t>
      </w:r>
      <w:r w:rsidRPr="00D774CE">
        <w:rPr>
          <w:rFonts w:ascii="Times New Roman" w:hAnsi="Times New Roman"/>
          <w:sz w:val="24"/>
          <w:szCs w:val="24"/>
          <w:lang w:val="en"/>
        </w:rPr>
        <w:t xml:space="preserve">1. Heart failure has a tendency of an irregular reduction of clinical manifestations during the ambulatory rehabilitation period in the </w:t>
      </w:r>
      <w:r w:rsidRPr="00D774CE">
        <w:rPr>
          <w:rFonts w:ascii="Times New Roman" w:hAnsi="Times New Roman"/>
          <w:sz w:val="24"/>
          <w:szCs w:val="24"/>
          <w:lang w:val="en"/>
        </w:rPr>
        <w:lastRenderedPageBreak/>
        <w:t>early phase after acute cardiovascular events – open heart surgery and acute myocardial infarction and PTCA revascularization. 2). The SMART residual risk is maintained on average in most patients at a moderate level (22%-24%), with insignificant fluctuations towards decrease or increase. 3) The rate of hospital readmissions was higher in patients after myocardial infarction compared to persons after heart surgery.</w:t>
      </w:r>
      <w:bookmarkStart w:id="0" w:name="_GoBack"/>
      <w:bookmarkEnd w:id="0"/>
    </w:p>
    <w:sectPr w:rsidR="00E76329" w:rsidRPr="006A2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5"/>
    <w:rsid w:val="00180306"/>
    <w:rsid w:val="00287771"/>
    <w:rsid w:val="002A1598"/>
    <w:rsid w:val="006A2FB0"/>
    <w:rsid w:val="009E489D"/>
    <w:rsid w:val="00AC3A57"/>
    <w:rsid w:val="00BD39A5"/>
    <w:rsid w:val="00DA63B1"/>
    <w:rsid w:val="00E7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D4B"/>
  <w15:chartTrackingRefBased/>
  <w15:docId w15:val="{A0437CFD-C416-4F17-A335-DB59F4BB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oetelu (bulletid),Referncias,1st level - Bullet List Paragraph,Lettre d'introduction,Paragrafo elenco,Medium Grid 1 - Accent 21,Normal bullet 2,Bullet list,Numbered List,Colorful List - Accent 11,Listenabsatz,Puces,List Paragraph 1,Stil3"/>
    <w:basedOn w:val="Normal"/>
    <w:link w:val="ListparagrafCaracter"/>
    <w:uiPriority w:val="34"/>
    <w:qFormat/>
    <w:rsid w:val="006A2FB0"/>
    <w:pPr>
      <w:spacing w:line="254" w:lineRule="auto"/>
      <w:ind w:left="720"/>
      <w:contextualSpacing/>
    </w:pPr>
    <w:rPr>
      <w:rFonts w:ascii="Calibri" w:eastAsia="Calibri" w:hAnsi="Calibri" w:cs="Times New Roman"/>
    </w:rPr>
  </w:style>
  <w:style w:type="character" w:customStyle="1" w:styleId="ListparagrafCaracter">
    <w:name w:val="Listă paragraf Caracter"/>
    <w:aliases w:val="Loetelu (bulletid) Caracter,Referncias Caracter,1st level - Bullet List Paragraph Caracter,Lettre d'introduction Caracter,Paragrafo elenco Caracter,Medium Grid 1 - Accent 21 Caracter,Normal bullet 2 Caracter,Bullet list Caracter"/>
    <w:link w:val="Listparagraf"/>
    <w:uiPriority w:val="34"/>
    <w:qFormat/>
    <w:locked/>
    <w:rsid w:val="006A2F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8</cp:revision>
  <dcterms:created xsi:type="dcterms:W3CDTF">2022-11-17T11:41:00Z</dcterms:created>
  <dcterms:modified xsi:type="dcterms:W3CDTF">2022-11-17T11:44:00Z</dcterms:modified>
</cp:coreProperties>
</file>