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24AB5" w14:textId="77777777" w:rsidR="001F1211" w:rsidRPr="003C1A21" w:rsidRDefault="001F1211" w:rsidP="001F1211">
      <w:pPr>
        <w:spacing w:after="0" w:line="276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3C1A21">
        <w:rPr>
          <w:rFonts w:ascii="Times New Roman" w:hAnsi="Times New Roman"/>
          <w:b/>
          <w:iCs/>
          <w:sz w:val="24"/>
          <w:szCs w:val="24"/>
          <w:lang w:val="ro-RO"/>
        </w:rPr>
        <w:t xml:space="preserve">Studiul comparativ al particularităților </w:t>
      </w:r>
      <w:proofErr w:type="spellStart"/>
      <w:r w:rsidRPr="003C1A21">
        <w:rPr>
          <w:rFonts w:ascii="Times New Roman" w:hAnsi="Times New Roman"/>
          <w:b/>
          <w:iCs/>
          <w:sz w:val="24"/>
          <w:szCs w:val="24"/>
          <w:lang w:val="ro-RO"/>
        </w:rPr>
        <w:t>genomice</w:t>
      </w:r>
      <w:proofErr w:type="spellEnd"/>
      <w:r w:rsidRPr="003C1A21">
        <w:rPr>
          <w:rFonts w:ascii="Times New Roman" w:hAnsi="Times New Roman"/>
          <w:b/>
          <w:iCs/>
          <w:sz w:val="24"/>
          <w:szCs w:val="24"/>
          <w:lang w:val="ro-RO"/>
        </w:rPr>
        <w:t xml:space="preserve">, imunologice și funcționale ale carcinoamelor cu celule </w:t>
      </w:r>
      <w:proofErr w:type="spellStart"/>
      <w:r w:rsidRPr="003C1A21">
        <w:rPr>
          <w:rFonts w:ascii="Times New Roman" w:hAnsi="Times New Roman"/>
          <w:b/>
          <w:iCs/>
          <w:sz w:val="24"/>
          <w:szCs w:val="24"/>
          <w:lang w:val="ro-RO"/>
        </w:rPr>
        <w:t>scuamoase</w:t>
      </w:r>
      <w:proofErr w:type="spellEnd"/>
      <w:r w:rsidRPr="003C1A21">
        <w:rPr>
          <w:rFonts w:ascii="Times New Roman" w:hAnsi="Times New Roman"/>
          <w:b/>
          <w:iCs/>
          <w:sz w:val="24"/>
          <w:szCs w:val="24"/>
          <w:lang w:val="ro-RO"/>
        </w:rPr>
        <w:t xml:space="preserve"> în cinci localizări anatomice</w:t>
      </w:r>
    </w:p>
    <w:p w14:paraId="2548CDCF" w14:textId="51BED8E6" w:rsidR="001F1211" w:rsidRPr="003C1A21" w:rsidRDefault="00E2785D" w:rsidP="001F1211">
      <w:pPr>
        <w:spacing w:after="0" w:line="276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iCs/>
          <w:sz w:val="24"/>
          <w:szCs w:val="24"/>
          <w:lang w:val="ro-RO"/>
        </w:rPr>
        <w:t>cifrul 20.80009.80</w:t>
      </w:r>
      <w:r w:rsidR="001F1211" w:rsidRPr="003C1A21">
        <w:rPr>
          <w:rFonts w:ascii="Times New Roman" w:hAnsi="Times New Roman"/>
          <w:b/>
          <w:iCs/>
          <w:sz w:val="24"/>
          <w:szCs w:val="24"/>
          <w:lang w:val="ro-RO"/>
        </w:rPr>
        <w:t>07.02</w:t>
      </w:r>
    </w:p>
    <w:p w14:paraId="750C3FAF" w14:textId="77777777" w:rsidR="001F1211" w:rsidRPr="00F2773C" w:rsidRDefault="001F1211" w:rsidP="001F1211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Au fost colectate și stocate în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biobancă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121 probe biologice de la pacienți cu cancer de cap-gât, 83 – cancer pulmonar, 48 – cancer de esofag, 46 – cancer de piele și 92 – cancer cervical. Conform rezultatelor histopatologice și/sau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imunohistochimice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au fost confirmate 120 (99.17%) cazuri de cancer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scuamos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cap și gât (HNSCC), 35 (44.87%) cancer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scuamos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pulmonar (LSCC), 41 (85.42%) cancer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scuamos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esofag (ESCC), 35 (85.37%) cancer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scuamos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piele (SSCC) și 59 (95.16%) cancer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scuamos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cervical (CSCC). Pentru o parte din probele respective, în dependență de localizare, au fost testate unele grupuri de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markeri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genetici,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markeri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expresie,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markeri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epigenetici,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markeri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microbiom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markeri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imunologici și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markeri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virali.</w:t>
      </w:r>
    </w:p>
    <w:p w14:paraId="71F41355" w14:textId="77777777" w:rsidR="001F1211" w:rsidRPr="00F2773C" w:rsidRDefault="001F1211" w:rsidP="001F1211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S-a efectuat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genotiparea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HPV-ului pentru probele biologice de cancer cervical, cancer de cap și gât și cancer pulmonar prin metoda RT-PCR. 82/87 probe biologice testate cu cancer cervical au fost HPV+, cel mai frecvent genotip fiind HPV16 (47.56%, dintre toate cazurile HPV pozitive). În 32.93% probe s-au întâlnit infecții multiple unde HPV16 a fost genotipul cel mai frecvent întâlnit. În cazul probelor biologice de cancer de cap și gât au fost identificate 8 HPV+ (9.52%) cu o prevalență de 100 % la bărbați dintre care 50.00% cu cancer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orofaringian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, 25.00% cancer laringian și 25.00% cancer al cavității bucale. În probele biologice de cancer pulmonar, frecvența infecției cu HPV a fost de 5.88% (2 cazuri), un caz cu LSCC și un caz cu LSCC și adenocarcinom pulmonar (LAUD).</w:t>
      </w:r>
    </w:p>
    <w:p w14:paraId="3B96A056" w14:textId="77777777" w:rsidR="001F1211" w:rsidRPr="00F2773C" w:rsidRDefault="001F1211" w:rsidP="001F1211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Expresia relativă a genelor TP53, WEE1, SLC7A11 și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mTOR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a relatat o scădere a expresiei genei TP53 în probele de țesut tumoral HNSCC, LSCC și SSCC, genele WEE1 și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mTOR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au o expresie ușor crescută în HNSCC și LSCC în timp ce expresia relativă a genei SLC7A11 crește de 1.4 ori în HNSCC și de 4,7 ori în LSCC. În tumorile HNSCC a fost observată o medie a metilării globale de 19,3 ng/ml iar probele CSCC prezintă o valoare mai ridicată ce constituie în medie 29,96 ng/ml. Procesul de metilare și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demetilare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a genelor au un efect major asupra expresiei oncogenelor și genelor supresoare de tumoare.</w:t>
      </w:r>
    </w:p>
    <w:p w14:paraId="1C91D1D8" w14:textId="77777777" w:rsidR="001F1211" w:rsidRPr="00F2773C" w:rsidRDefault="001F1211" w:rsidP="001F1211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La pacienții cu CSCC și HNSCC au fost analizați unii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markeri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microbiom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în dependență de implicarea acestora în menținerea stării normale a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cenozei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locale cât și în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persistenața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infecției cu HPV. În 86.21% probe biologice cu CSCC sa identificat un nivel scăzut de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Lactobacillus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spp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. iar 13.79% de probe cu nivel normal de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Lactobacillus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spp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. au prezentat și un nivel normal (sau lipsa) a speciilor (G.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vaginalis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și A.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vaginae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) implicate în persistența infecției cu HPV.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Deasemnea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toate probele cu nivel patologic de G.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vaginalis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și A.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vaginae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au prezentat și un nivel scăzut de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Lactobacillus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spp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.. În cazul HNSCC, din 7 specii de bacterii testate,  F.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nucleatum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a prezentat un nivel patologic în marea majoritate a probelor biologice (20/27, 74.07%) iar probele cu nivel patologic de A. </w:t>
      </w:r>
      <w:proofErr w:type="spellStart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actinomycetemcomitans</w:t>
      </w:r>
      <w:proofErr w:type="spellEnd"/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 xml:space="preserve"> prezintă și un nivel patologic al celorlalte 6 specii.</w:t>
      </w:r>
    </w:p>
    <w:p w14:paraId="212C13B4" w14:textId="77777777" w:rsidR="001F1211" w:rsidRDefault="001F1211" w:rsidP="001F1211">
      <w:pPr>
        <w:spacing w:after="12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F2773C">
        <w:rPr>
          <w:rFonts w:ascii="Times New Roman" w:hAnsi="Times New Roman"/>
          <w:bCs/>
          <w:iCs/>
          <w:sz w:val="24"/>
          <w:szCs w:val="24"/>
          <w:lang w:val="ro-RO"/>
        </w:rPr>
        <w:t>În urma analizei mutațiilor în gena TP53 (c.524G&gt;A, c.818G&gt;A și c.817C&gt;T) și gena EGFR (Ex19Del, L858R și T790M) efectuate pe ADN-ul izolat din țesutul tumoral au fost identificate 28/85 (32.94%) probe cu HNSCC pozitive pentru una sau mai multe mutații în gena TP53, 4/19 (21.05%) probe cu SSCC pozitive, 4/21 (19.05%) probe cu ESCC și 10/30 (33.33%) probe izolate din țesut tumoral pulmonar. În cazul mutațiilor în gena EGFR, a fost identificată o probă (1/23, 4.36%) cu ESCC pozitivă,  2 (2/34, 5.88%) probe de cancer pulmonar pozitive și nici un caz pozitiv pentru HNSCC (0/66).</w:t>
      </w:r>
    </w:p>
    <w:p w14:paraId="32FC97C4" w14:textId="77777777" w:rsidR="001F1211" w:rsidRPr="00B9546C" w:rsidRDefault="001F1211" w:rsidP="001F1211">
      <w:pPr>
        <w:spacing w:after="120" w:line="276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lastRenderedPageBreak/>
        <w:t xml:space="preserve">Comparative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study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of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genomic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,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immunological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and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functional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features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of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squamous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cell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carcinomas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in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five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anatomical</w:t>
      </w:r>
      <w:proofErr w:type="spellEnd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B9546C">
        <w:rPr>
          <w:rFonts w:ascii="Times New Roman" w:hAnsi="Times New Roman"/>
          <w:b/>
          <w:iCs/>
          <w:sz w:val="24"/>
          <w:szCs w:val="24"/>
          <w:lang w:val="ro-RO"/>
        </w:rPr>
        <w:t>locations</w:t>
      </w:r>
      <w:proofErr w:type="spellEnd"/>
    </w:p>
    <w:p w14:paraId="1F56F699" w14:textId="402E7C02" w:rsidR="001F1211" w:rsidRPr="00B9546C" w:rsidRDefault="00E2785D" w:rsidP="001F1211">
      <w:pPr>
        <w:spacing w:after="120" w:line="276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  <w:lang w:val="ro-RO"/>
        </w:rPr>
        <w:t>cipher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 20.80009.80</w:t>
      </w:r>
      <w:r w:rsidR="001F1211" w:rsidRPr="00B9546C">
        <w:rPr>
          <w:rFonts w:ascii="Times New Roman" w:hAnsi="Times New Roman"/>
          <w:b/>
          <w:iCs/>
          <w:sz w:val="24"/>
          <w:szCs w:val="24"/>
          <w:lang w:val="ro-RO"/>
        </w:rPr>
        <w:t>07.02</w:t>
      </w:r>
    </w:p>
    <w:p w14:paraId="663F0E7E" w14:textId="77777777" w:rsidR="001F1211" w:rsidRPr="003D75C2" w:rsidRDefault="001F1211" w:rsidP="001F1211">
      <w:pPr>
        <w:spacing w:after="0" w:line="276" w:lineRule="auto"/>
        <w:ind w:firstLine="72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There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were collected and stored in the biobank 121 biological samples from patients with head and neck cancer, 83 – lung cancer, 48 – esophagus cancer, 46 – skin cancer and 92 – cervical cancer. According to the histopathological and/or </w:t>
      </w:r>
      <w:proofErr w:type="spell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immunohistochemical</w:t>
      </w:r>
      <w:proofErr w:type="spell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r</w:t>
      </w:r>
      <w:bookmarkStart w:id="0" w:name="_GoBack"/>
      <w:bookmarkEnd w:id="0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esul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ts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were confirmed 120 (99.17%) cases of head and neck squamous cancer (HNSCC), 35 (44.87%) lung squamous cancer (LSCC), 41 (85.42%) esophageal squamou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 cancer (ESCC)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, 35 (85.37%) squamous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skin cancer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(SSCC) and 59 (95.16%) cervical squamous ca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ncer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(CSCC).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D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epending on the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location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certain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samples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were tested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for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genetic, expression, epigenetic, microbiome, immunological and viral markers.</w:t>
      </w:r>
    </w:p>
    <w:p w14:paraId="1C1BD97C" w14:textId="77777777" w:rsidR="001F1211" w:rsidRPr="003D75C2" w:rsidRDefault="001F1211" w:rsidP="001F1211">
      <w:pPr>
        <w:spacing w:after="0" w:line="276" w:lineRule="auto"/>
        <w:ind w:firstLine="72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HPV genotyping </w:t>
      </w:r>
      <w:proofErr w:type="gramStart"/>
      <w:r>
        <w:rPr>
          <w:rFonts w:ascii="Times New Roman" w:hAnsi="Times New Roman"/>
          <w:bCs/>
          <w:iCs/>
          <w:kern w:val="32"/>
          <w:sz w:val="24"/>
          <w:szCs w:val="24"/>
        </w:rPr>
        <w:t>has been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performed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for biological samples of cervical cancer, head and neck cancer and lung cancer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using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RT-PCR method.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82/87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biological samples tested with cervical cancer were HPV+, the most frequent genotype being HPV16 (47.56%, of all HPV positive cases). In 32.93% samples, multiple infections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were encountered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where HPV16 was the most frequently encou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ntered genotype. In the case of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head and neck cancer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there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were identified 8 HPV+ (9.52%)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samples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with a prevalence of 100% in men of which 50.00% with oropharyngeal cancer, 25.00% laryngeal cancer and 25.00% oral cavity cancer.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T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he frequency of HPV infection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i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n lung cancer was 5.88% (2 cases),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and one case for each in: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LSCC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and LSCC with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lung adenocarcinoma (LAUD).</w:t>
      </w:r>
    </w:p>
    <w:p w14:paraId="73731820" w14:textId="77777777" w:rsidR="001F1211" w:rsidRPr="003D75C2" w:rsidRDefault="001F1211" w:rsidP="001F1211">
      <w:pPr>
        <w:spacing w:after="0" w:line="276" w:lineRule="auto"/>
        <w:ind w:firstLine="72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The relative expression of TP53, WEE1, SLC7A11 and </w:t>
      </w:r>
      <w:proofErr w:type="spell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mTOR</w:t>
      </w:r>
      <w:proofErr w:type="spell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genes reported a decrease in TP53 gene expression in HNSCC, LSCC and SSCC tumor tissue samples,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while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WEE1 and </w:t>
      </w:r>
      <w:proofErr w:type="spell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mTOR</w:t>
      </w:r>
      <w:proofErr w:type="spell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genes have slightly increased expression in HNSCC and LSCC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. T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he SLC7A11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relative gene expression </w:t>
      </w:r>
      <w:proofErr w:type="gramStart"/>
      <w:r>
        <w:rPr>
          <w:rFonts w:ascii="Times New Roman" w:hAnsi="Times New Roman"/>
          <w:bCs/>
          <w:iCs/>
          <w:kern w:val="32"/>
          <w:sz w:val="24"/>
          <w:szCs w:val="24"/>
        </w:rPr>
        <w:t>was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increased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with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1.4-fold in HNSCC and 4.7-fold in LSCC.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average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global methylation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observed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in HNSCC tumors was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19.3 ng/ml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while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CSCC samples showed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an average value of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29.96 ng/ml. The process of gene methylation and demethylation have a major effect on the expression of oncogenes and tumor suppressor genes.</w:t>
      </w:r>
    </w:p>
    <w:p w14:paraId="217178AA" w14:textId="77777777" w:rsidR="001F1211" w:rsidRPr="003D75C2" w:rsidRDefault="001F1211" w:rsidP="001F1211">
      <w:pPr>
        <w:spacing w:after="0" w:line="276" w:lineRule="auto"/>
        <w:ind w:firstLine="72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In patients with CSCC and HNSCC, some microbiome markers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were analyzed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depending on their involvement in maintaining the normal state of the local </w:t>
      </w:r>
      <w:proofErr w:type="spell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cenosis</w:t>
      </w:r>
      <w:proofErr w:type="spell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as well as in the persistence of HPV infection. In 86.21% of biological samples with CSCC was identified a low level of Lactobacillus spp.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while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in 13.79% samples -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a normal level.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samples with a healthy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Lactobacillus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concentration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also showed a normal level (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or the absence) of the species (G. vaginalis and A. </w:t>
      </w:r>
      <w:proofErr w:type="spellStart"/>
      <w:r>
        <w:rPr>
          <w:rFonts w:ascii="Times New Roman" w:hAnsi="Times New Roman"/>
          <w:bCs/>
          <w:iCs/>
          <w:kern w:val="32"/>
          <w:sz w:val="24"/>
          <w:szCs w:val="24"/>
        </w:rPr>
        <w:t>vaginae</w:t>
      </w:r>
      <w:proofErr w:type="spellEnd"/>
      <w:r>
        <w:rPr>
          <w:rFonts w:ascii="Times New Roman" w:hAnsi="Times New Roman"/>
          <w:bCs/>
          <w:iCs/>
          <w:kern w:val="32"/>
          <w:sz w:val="24"/>
          <w:szCs w:val="24"/>
        </w:rPr>
        <w:t>)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involved in the persistence of HPV infection. Also, all samples with pathological level of G. vaginalis and A. </w:t>
      </w:r>
      <w:proofErr w:type="spell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vaginae</w:t>
      </w:r>
      <w:proofErr w:type="spell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also showed a low level of Lactobacillus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spp..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In the case of HNSCC, out of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7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species of bacteria tested, F. </w:t>
      </w:r>
      <w:proofErr w:type="spell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nucleatum</w:t>
      </w:r>
      <w:proofErr w:type="spell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showed a pathological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concentration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in the vast majority of bio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logical samples (20/27, 74.07%). T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he samples with a pathological level of A. </w:t>
      </w:r>
      <w:proofErr w:type="spell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actinomycetemcomitans</w:t>
      </w:r>
      <w:proofErr w:type="spell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also present a pathological level of the other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6</w:t>
      </w:r>
      <w:proofErr w:type="gramEnd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species.</w:t>
      </w:r>
    </w:p>
    <w:p w14:paraId="323B414A" w14:textId="560BFC2F" w:rsidR="00B947A7" w:rsidRPr="001F1211" w:rsidRDefault="001F1211" w:rsidP="001F1211">
      <w:pPr>
        <w:spacing w:after="12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Following the analysis of the mutations in the TP53 gene (c.524G&gt;A, c.818G&gt;A and c.817C&gt;T) and the EGFR gene (Ex19Del, L858R and T790M) carried out on the DNA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isolated from the tumor tissue there were obtained next results: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28/ 85 (32.94%) HNSCC samples positive for one or more mutations in the TP53 gene, 4/19 (21.05%) SSCC positive samples, 4/21 </w:t>
      </w:r>
      <w:r w:rsidRPr="00561176">
        <w:rPr>
          <w:rFonts w:ascii="Times New Roman" w:hAnsi="Times New Roman"/>
          <w:bCs/>
          <w:iCs/>
          <w:kern w:val="32"/>
          <w:sz w:val="24"/>
          <w:szCs w:val="24"/>
        </w:rPr>
        <w:t xml:space="preserve">(19.05%)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ESCC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positive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samples and 10/30 (33.33%)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positive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samples isolated from pulmonary tumor tissue.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lastRenderedPageBreak/>
        <w:t xml:space="preserve">For mutations in the EGFR gene,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there were identified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one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positive sample (1/23, 4.36%) in 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ESCC,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and </w:t>
      </w:r>
      <w:proofErr w:type="gramStart"/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>2</w:t>
      </w:r>
      <w:proofErr w:type="gramEnd"/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positive (2/34, 5.88%) in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lung cancer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. No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positive case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</w:t>
      </w:r>
      <w:r w:rsidRPr="003D75C2">
        <w:rPr>
          <w:rFonts w:ascii="Times New Roman" w:hAnsi="Times New Roman"/>
          <w:bCs/>
          <w:iCs/>
          <w:kern w:val="32"/>
          <w:sz w:val="24"/>
          <w:szCs w:val="24"/>
        </w:rPr>
        <w:t xml:space="preserve"> for HNSCC (0/66)</w:t>
      </w:r>
    </w:p>
    <w:sectPr w:rsidR="00B947A7" w:rsidRPr="001F121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54"/>
    <w:rsid w:val="001F1211"/>
    <w:rsid w:val="002228F3"/>
    <w:rsid w:val="00442C54"/>
    <w:rsid w:val="0051510A"/>
    <w:rsid w:val="0058533D"/>
    <w:rsid w:val="007C7F30"/>
    <w:rsid w:val="00DD6220"/>
    <w:rsid w:val="00E2785D"/>
    <w:rsid w:val="00E603FC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F2CA"/>
  <w15:docId w15:val="{3F3676B2-4F1F-46FB-99FF-6C28AE16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2022-11-17T09:06:00Z</dcterms:created>
  <dcterms:modified xsi:type="dcterms:W3CDTF">2022-11-18T10:58:00Z</dcterms:modified>
</cp:coreProperties>
</file>