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CB2F" w14:textId="77777777" w:rsidR="00C9089C" w:rsidRPr="003436C6" w:rsidRDefault="00C9089C" w:rsidP="00C9089C">
      <w:pPr>
        <w:keepNext/>
        <w:spacing w:after="120" w:line="276" w:lineRule="auto"/>
        <w:outlineLvl w:val="0"/>
        <w:rPr>
          <w:rFonts w:ascii="Times New Roman" w:hAnsi="Times New Roman"/>
          <w:bCs/>
          <w:kern w:val="32"/>
          <w:sz w:val="24"/>
          <w:szCs w:val="24"/>
          <w:lang w:val="ro-MD"/>
        </w:rPr>
      </w:pP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Rezumatul activității și a rezultatelor obținute în proiect 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>limba română</w:t>
      </w: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>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C9089C" w:rsidRPr="003436C6" w14:paraId="15A36622" w14:textId="77777777" w:rsidTr="00D15270">
        <w:tc>
          <w:tcPr>
            <w:tcW w:w="10094" w:type="dxa"/>
            <w:shd w:val="clear" w:color="auto" w:fill="auto"/>
          </w:tcPr>
          <w:p w14:paraId="66EF9EBE" w14:textId="77777777" w:rsidR="00C9089C" w:rsidRPr="00232460" w:rsidRDefault="00C9089C" w:rsidP="00D15270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FF0000"/>
                <w:kern w:val="32"/>
                <w:sz w:val="24"/>
                <w:szCs w:val="24"/>
                <w:lang w:val="ro-RO"/>
              </w:rPr>
              <w:t xml:space="preserve">     </w:t>
            </w:r>
            <w:r w:rsidRPr="00C2279A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Fondul genetic de plante lemnoase a fost completat cu 125 </w:t>
            </w:r>
            <w:proofErr w:type="spellStart"/>
            <w:r w:rsidRPr="00C2279A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taxoni</w:t>
            </w:r>
            <w:proofErr w:type="spellEnd"/>
            <w:r w:rsidRPr="00C2279A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din 21 genuri (375 unități).</w:t>
            </w:r>
            <w:r w:rsidRPr="00232460">
              <w:rPr>
                <w:rFonts w:ascii="Times New Roman" w:hAnsi="Times New Roman"/>
                <w:bCs/>
                <w:color w:val="FF0000"/>
                <w:kern w:val="32"/>
                <w:sz w:val="24"/>
                <w:szCs w:val="24"/>
                <w:lang w:val="ro-RO"/>
              </w:rPr>
              <w:t xml:space="preserve">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Au fost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recepţiona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>ți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168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taxoni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din 45 Grădini Botanice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Internaţionale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. S-au colectat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seminţe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de la 120 specii de plante lemnoase pentru schimbul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internaţional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de material seminal. Elaborat sortimentul de plante lemnoase pentru Catalogul de Semințe nr. 42.</w:t>
            </w:r>
          </w:p>
          <w:p w14:paraId="11A9C29B" w14:textId="0860CF33" w:rsidR="00C9089C" w:rsidRPr="00232460" w:rsidRDefault="00C9089C" w:rsidP="00D15270">
            <w:pPr>
              <w:spacing w:after="0" w:line="276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tabilite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elaborate tehnologii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micropropagare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cultura </w:t>
            </w:r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in vitro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aclimatiza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condițiile </w:t>
            </w:r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ex vitro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863F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</w:t>
            </w:r>
            <w:proofErr w:type="spellStart"/>
            <w:r w:rsidRPr="00863F4C">
              <w:rPr>
                <w:rFonts w:ascii="Times New Roman" w:hAnsi="Times New Roman"/>
                <w:sz w:val="24"/>
                <w:szCs w:val="24"/>
                <w:lang w:val="ro-RO"/>
              </w:rPr>
              <w:t>taxonii</w:t>
            </w:r>
            <w:proofErr w:type="spellEnd"/>
            <w:r w:rsidRPr="00863F4C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Lycium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barbarum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('Licurici'; 'New big';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Amber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Sweet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');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Rubus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fruticosus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('Melana'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'Triple Crown',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Natcez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'),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Lonicera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caerulea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Leningradskij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Welikan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’,</w:t>
            </w:r>
            <w:r w:rsidRPr="00232460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 xml:space="preserve">Blue </w:t>
            </w:r>
            <w:proofErr w:type="spellStart"/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>Velvet</w:t>
            </w:r>
            <w:proofErr w:type="spellEnd"/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 xml:space="preserve">, 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proofErr w:type="spellStart"/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>Siniczka</w:t>
            </w:r>
            <w:proofErr w:type="spellEnd"/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>,</w:t>
            </w:r>
            <w:r w:rsidRPr="002324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>Indigo Gem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 xml:space="preserve">, 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</w:t>
            </w:r>
            <w:r w:rsidRPr="002324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ro-RO"/>
              </w:rPr>
              <w:t>Nimfa</w:t>
            </w:r>
            <w:r w:rsidRPr="0023246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')</w:t>
            </w:r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Actinidia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kolomikta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232460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(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'dr.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Schimanovschi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'),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Paulownia</w:t>
            </w:r>
            <w:proofErr w:type="spellEnd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elongata 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(5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cultivaruri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  <w:r w:rsidRPr="0023246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Lavandula</w:t>
            </w:r>
            <w:proofErr w:type="spellEnd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augustifolia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4 forme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hibridul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Lavandin</w:t>
            </w:r>
            <w:proofErr w:type="spellEnd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Sequoia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sempervirens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realizată </w:t>
            </w:r>
            <w:r w:rsidRPr="00232460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descrierea detaliată a etapelor de dezvoltare completă </w:t>
            </w:r>
            <w:r w:rsidRPr="00232460">
              <w:rPr>
                <w:rFonts w:ascii="Times New Roman" w:hAnsi="Times New Roman"/>
                <w:i/>
                <w:sz w:val="24"/>
                <w:szCs w:val="24"/>
                <w:lang w:val="ro-MD" w:eastAsia="ru-RU"/>
              </w:rPr>
              <w:t xml:space="preserve">in vitro. </w:t>
            </w:r>
          </w:p>
          <w:p w14:paraId="389B7725" w14:textId="77777777" w:rsidR="00C9089C" w:rsidRPr="00232460" w:rsidRDefault="00C9089C" w:rsidP="00D15270">
            <w:pPr>
              <w:spacing w:after="0" w:line="276" w:lineRule="auto"/>
              <w:ind w:firstLine="3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</w:pPr>
            <w:r w:rsidRPr="00232460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Culturile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investigate în anul curent (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Schisandra</w:t>
            </w:r>
            <w:proofErr w:type="spellEnd"/>
            <w:r w:rsidRPr="00232460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chinensis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Hydrangea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aspera</w:t>
            </w:r>
            <w:proofErr w:type="spellEnd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Vaccinium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vitis-idaea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L., V.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macrocarpon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V.corimbossum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Hosta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sieboldi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Hydrangea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macrophylla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Corylus</w:t>
            </w:r>
            <w:proofErr w:type="spellEnd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avellana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o-RO" w:eastAsia="ru-RU"/>
              </w:rPr>
              <w:t>)</w:t>
            </w:r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sunt la diferite faze de dezvoltare: inițiere, </w:t>
            </w:r>
            <w:proofErr w:type="spellStart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micropropagare</w:t>
            </w:r>
            <w:proofErr w:type="spellEnd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și adaptare.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D</w:t>
            </w:r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ezvoltarea lentă cu dificultăți a </w:t>
            </w:r>
            <w:proofErr w:type="spellStart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taxoni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lor</w:t>
            </w:r>
            <w:proofErr w:type="spellEnd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este cauzată de condițiile de adaptare la factorii climaterici ai Republicii Moldova,</w:t>
            </w:r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majoritatea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fiind plante</w:t>
            </w:r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introducen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>te</w:t>
            </w:r>
            <w:proofErr w:type="spellEnd"/>
            <w:r w:rsidRPr="00232460">
              <w:rPr>
                <w:rFonts w:ascii="Times New Roman" w:eastAsia="Times New Roman" w:hAnsi="Times New Roman"/>
                <w:iCs/>
                <w:sz w:val="24"/>
                <w:szCs w:val="24"/>
                <w:lang w:val="ro-RO" w:eastAsia="ru-RU"/>
              </w:rPr>
              <w:t xml:space="preserve">. </w:t>
            </w:r>
          </w:p>
          <w:p w14:paraId="3F36A12E" w14:textId="77777777" w:rsidR="00C9089C" w:rsidRPr="00232460" w:rsidRDefault="00C9089C" w:rsidP="00D15270">
            <w:pPr>
              <w:keepNext/>
              <w:tabs>
                <w:tab w:val="left" w:pos="-80"/>
                <w:tab w:val="left" w:pos="203"/>
                <w:tab w:val="left" w:pos="345"/>
              </w:tabs>
              <w:spacing w:after="0" w:line="276" w:lineRule="auto"/>
              <w:ind w:left="62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ealizate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morfo-anatomice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</w:rPr>
              <w:t>laminei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</w:rPr>
              <w:t>frunzei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întru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stabili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eventualel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or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modificări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structurale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determinate de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schimbarea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mediului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viaţă</w:t>
            </w:r>
            <w:proofErr w:type="spellEnd"/>
            <w:r w:rsidRPr="0023246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soiurile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 xml:space="preserve">Lonicera </w:t>
            </w:r>
            <w:proofErr w:type="spellStart"/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>caerulea</w:t>
            </w:r>
            <w:proofErr w:type="spellEnd"/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taxoni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genul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Rosa (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taxon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la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unii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taxoni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din</w:t>
            </w:r>
            <w:r w:rsidRPr="00232460">
              <w:rPr>
                <w:rFonts w:ascii="Times New Roman" w:hAnsi="Times New Roman"/>
                <w:bCs/>
                <w:iCs/>
                <w:kern w:val="32"/>
                <w:sz w:val="24"/>
                <w:szCs w:val="24"/>
              </w:rPr>
              <w:t xml:space="preserve"> fam.</w:t>
            </w:r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>Amaryllidaceae</w:t>
            </w:r>
            <w:proofErr w:type="spellEnd"/>
            <w:r w:rsidRPr="00232460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 xml:space="preserve">. </w:t>
            </w:r>
          </w:p>
          <w:p w14:paraId="2DD23A47" w14:textId="77777777" w:rsidR="00C9089C" w:rsidRPr="00232460" w:rsidRDefault="00C9089C" w:rsidP="00D15270">
            <w:pPr>
              <w:keepNext/>
              <w:spacing w:after="0" w:line="276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Studiile biochimice privind conținutul substanțelor biologic active au fost realizate utilizând în calitate de material biologic fructele și frunzele colectate de la plantele a cinci specii și soiuri: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Lycium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barbarum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('Licurici'; 'New big';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Amber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Sweet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');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Rubus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fruticosus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('Melana'; 'Triple Crown');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Lonicera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caerulea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Leningradskij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Welikan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’);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Amelanchier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alnifolia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Manda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',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Amelanchier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alnifolia</w:t>
            </w:r>
            <w:proofErr w:type="spellEnd"/>
            <w:r w:rsidRPr="0023246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Nutt</w:t>
            </w:r>
            <w:proofErr w:type="spellEnd"/>
            <w:r w:rsidRPr="00232460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  <w:p w14:paraId="75128417" w14:textId="77777777" w:rsidR="00C9089C" w:rsidRPr="00232460" w:rsidRDefault="00C9089C" w:rsidP="00D15270">
            <w:pPr>
              <w:keepNext/>
              <w:spacing w:after="0" w:line="276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       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S-au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evidențiat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mobilizat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4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taxoni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noi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din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genul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i/>
                <w:iCs/>
                <w:kern w:val="32"/>
                <w:sz w:val="24"/>
                <w:szCs w:val="24"/>
              </w:rPr>
              <w:t>Cornus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L.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2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taxoni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din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genul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i/>
                <w:iCs/>
                <w:kern w:val="32"/>
                <w:sz w:val="24"/>
                <w:szCs w:val="24"/>
              </w:rPr>
              <w:t>Lycium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L.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>S-au evidențiat caracterele distinctive stabile la gutuiul japonez (portul plantei, forma coroanei, abundența înfloririi, randamentul legării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>fructelor, procentul mezocarpului)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>.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>S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pt-BR"/>
              </w:rPr>
              <w:t>-a pregătit setul de documente pentru I an de testare la DUS, precum și pentru elaborarea ghidului DUS pentru soiurile de gutui japonez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>,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înregistrat setul de documente pentru AGEPI (nr. depozit v 2022 0007, data depozit 2022.03.17 și Comisia de Stat pentru Testarea Soiurilor de Plante a R.M. a unui soi candidat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it-IT"/>
              </w:rPr>
              <w:t>'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Andreia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it-IT"/>
              </w:rPr>
              <w:t>'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 de </w:t>
            </w:r>
            <w:proofErr w:type="spellStart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>Cerasus</w:t>
            </w:r>
            <w:proofErr w:type="spellEnd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>tomentosa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Thumb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.) Wall.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și 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it-IT"/>
              </w:rPr>
              <w:t>'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Licurici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it-IT"/>
              </w:rPr>
              <w:t>'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>Lycium</w:t>
            </w:r>
            <w:proofErr w:type="spellEnd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54038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RO"/>
              </w:rPr>
              <w:t>barbarum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L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).</w:t>
            </w:r>
          </w:p>
          <w:p w14:paraId="62625F70" w14:textId="77777777" w:rsidR="00C9089C" w:rsidRPr="00232460" w:rsidRDefault="00C9089C" w:rsidP="00D15270">
            <w:pPr>
              <w:keepNext/>
              <w:spacing w:after="0" w:line="276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        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Testând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diverse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metode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convenționale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multiplicare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ale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arbuștilor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fructiferi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s-a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constatat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procedeul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optim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rentabil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înmulțire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pentru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moșmon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călin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medicinal,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gutuiul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japonez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vișinul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tomentos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dracilă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socul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negru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irga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ș.a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a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fost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semănatul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toamnă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a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semințelor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proaspăt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curățate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la o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adâncime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2-3 cm,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dar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pentru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taxonii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cătină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albă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aronia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actinidia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goji,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măslin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toamnă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–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prin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butași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lignificați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tratați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cu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stimulatori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de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rizogeneză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organici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sintetici</w:t>
            </w:r>
            <w:proofErr w:type="spellEnd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14:paraId="72F439E7" w14:textId="77777777" w:rsidR="00C9089C" w:rsidRPr="00232460" w:rsidRDefault="00C9089C" w:rsidP="00D15270">
            <w:pPr>
              <w:keepNext/>
              <w:spacing w:after="0" w:line="276" w:lineRule="auto"/>
              <w:ind w:firstLine="60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>R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 xml:space="preserve">itmul de creștere la 48 </w:t>
            </w:r>
            <w:proofErr w:type="spellStart"/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>taxoni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 xml:space="preserve"> cercetați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 xml:space="preserve"> din 20 de genuri a fost mai lent co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>m</w:t>
            </w:r>
            <w:r w:rsidRPr="00232460">
              <w:rPr>
                <w:rFonts w:ascii="Times New Roman" w:hAnsi="Times New Roman"/>
                <w:bCs/>
                <w:kern w:val="32"/>
                <w:sz w:val="24"/>
                <w:szCs w:val="24"/>
                <w:lang w:val="ro-MD"/>
              </w:rPr>
              <w:t xml:space="preserve">parativ cu anul 2021. </w:t>
            </w:r>
          </w:p>
          <w:p w14:paraId="1E5E5A8A" w14:textId="77777777" w:rsidR="00C9089C" w:rsidRPr="00232460" w:rsidRDefault="00C9089C" w:rsidP="00D15270">
            <w:pPr>
              <w:keepNext/>
              <w:spacing w:after="0" w:line="276" w:lineRule="auto"/>
              <w:ind w:firstLine="60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Randamentul conceperii fructelor 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soiurile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nuc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Surpriz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' și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Micleușene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', servi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nd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 genitori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feminini a fost mai înalt (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50-60%)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fiind polenizate cu formele precoce masculine</w:t>
            </w: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comparativ cu alte soiuri cercetate ('Dolna', 'Nistrene', 'De Vălcineț', '</w:t>
            </w:r>
            <w:proofErr w:type="spellStart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>Chișinăuene</w:t>
            </w:r>
            <w:proofErr w:type="spellEnd"/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’). </w:t>
            </w:r>
          </w:p>
          <w:p w14:paraId="24C43148" w14:textId="77777777" w:rsidR="00C9089C" w:rsidRPr="00232460" w:rsidRDefault="00C9089C" w:rsidP="00D15270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39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2324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Realizate – 14 emisiuni R/TV. </w:t>
            </w:r>
            <w:r w:rsidRPr="0023246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Publicate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 w:rsidRPr="0023246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lucrări științifice, ghidate 36 excursii. </w:t>
            </w:r>
          </w:p>
        </w:tc>
      </w:tr>
    </w:tbl>
    <w:p w14:paraId="3891EB10" w14:textId="77777777" w:rsidR="00C9089C" w:rsidRDefault="00C9089C" w:rsidP="00C9089C">
      <w:pPr>
        <w:spacing w:after="120" w:line="276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val="ro-MD"/>
        </w:rPr>
      </w:pPr>
    </w:p>
    <w:p w14:paraId="50F38DF1" w14:textId="77777777" w:rsidR="00C9089C" w:rsidRPr="003436C6" w:rsidRDefault="00C9089C" w:rsidP="00C9089C">
      <w:pPr>
        <w:keepNext/>
        <w:spacing w:after="120" w:line="276" w:lineRule="auto"/>
        <w:ind w:left="567"/>
        <w:outlineLvl w:val="0"/>
        <w:rPr>
          <w:rFonts w:ascii="Times New Roman" w:hAnsi="Times New Roman"/>
          <w:bCs/>
          <w:kern w:val="32"/>
          <w:sz w:val="24"/>
          <w:szCs w:val="24"/>
          <w:lang w:val="ro-MD"/>
        </w:rPr>
      </w:pP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lastRenderedPageBreak/>
        <w:t>Rezumatul activității și a rezultatelor obținute în proiect</w:t>
      </w:r>
      <w:r>
        <w:rPr>
          <w:rFonts w:ascii="Times New Roman" w:hAnsi="Times New Roman"/>
          <w:bCs/>
          <w:kern w:val="32"/>
          <w:sz w:val="24"/>
          <w:szCs w:val="24"/>
          <w:lang w:val="ro-MD"/>
        </w:rPr>
        <w:t xml:space="preserve"> limba engleză</w:t>
      </w:r>
      <w:r w:rsidRPr="003436C6">
        <w:rPr>
          <w:rFonts w:ascii="Times New Roman" w:hAnsi="Times New Roman"/>
          <w:bCs/>
          <w:kern w:val="32"/>
          <w:sz w:val="24"/>
          <w:szCs w:val="24"/>
          <w:lang w:val="ro-MD"/>
        </w:rPr>
        <w:t>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C9089C" w:rsidRPr="003436C6" w14:paraId="02A920BE" w14:textId="77777777" w:rsidTr="00D15270">
        <w:tc>
          <w:tcPr>
            <w:tcW w:w="10094" w:type="dxa"/>
            <w:shd w:val="clear" w:color="auto" w:fill="auto"/>
          </w:tcPr>
          <w:p w14:paraId="2A993B2E" w14:textId="77777777" w:rsidR="00C9089C" w:rsidRPr="00056995" w:rsidRDefault="00C9089C" w:rsidP="00C9089C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The gene pool of woody plants was supplemented with 125 taxa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of 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21 genera (375 units).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Overall, </w:t>
            </w:r>
            <w:r w:rsidRPr="00755A62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168 taxa were received from 45 International Botanical Gardens. Seeds were collected from 120 woody plant species for international seed exchange.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The</w:t>
            </w:r>
            <w:r w:rsidRPr="00755A62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assortment of woody plants for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the </w:t>
            </w:r>
            <w:r w:rsidRPr="00755A62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Seed Catalogue no. 42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was prepared</w:t>
            </w:r>
            <w:r w:rsidRPr="00755A62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.</w:t>
            </w:r>
          </w:p>
          <w:p w14:paraId="53802B60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C37C9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  <w:t xml:space="preserve">The technologies of micropropagation by tissue culture and acclimatization to </w:t>
            </w:r>
            <w:r w:rsidRPr="004C37C9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ex vitro</w:t>
            </w:r>
            <w:r w:rsidRPr="004C37C9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conditions were developed for the following taxa: </w:t>
            </w:r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Lycium</w:t>
            </w:r>
            <w:proofErr w:type="spellEnd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barbarum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('</w:t>
            </w:r>
            <w:proofErr w:type="spellStart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Licurici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'; 'New big'; 'Amber Sweet');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Rubus</w:t>
            </w:r>
            <w:proofErr w:type="spellEnd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fruticosus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('</w:t>
            </w:r>
            <w:proofErr w:type="spellStart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Melana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'; 'Triple Crown', '</w:t>
            </w:r>
            <w:proofErr w:type="spellStart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Natcez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'), </w:t>
            </w:r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Lonicera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caerulea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('</w:t>
            </w:r>
            <w:proofErr w:type="spellStart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Leningradskij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Welikan</w:t>
            </w:r>
            <w:proofErr w:type="spellEnd"/>
            <w:r w:rsidRPr="004C37C9">
              <w:rPr>
                <w:rFonts w:ascii="Times New Roman" w:hAnsi="Times New Roman"/>
                <w:sz w:val="24"/>
                <w:szCs w:val="24"/>
                <w:lang w:val="en-GB"/>
              </w:rPr>
              <w:t>’,</w:t>
            </w:r>
            <w:r w:rsidRPr="004C37C9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>Blue Velvet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 xml:space="preserve">, 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>Siniczka</w:t>
            </w:r>
            <w:proofErr w:type="spellEnd"/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>,</w:t>
            </w:r>
            <w:r w:rsidRPr="004C37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>Indigo Gem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 xml:space="preserve">, </w:t>
            </w:r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4C37C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ro-RO"/>
              </w:rPr>
              <w:t>Nimfa</w:t>
            </w:r>
            <w:proofErr w:type="spellEnd"/>
            <w:r w:rsidRPr="004C37C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')</w:t>
            </w:r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Actinidia</w:t>
            </w:r>
            <w:proofErr w:type="spellEnd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kolomikta</w:t>
            </w:r>
            <w:proofErr w:type="spellEnd"/>
            <w:r w:rsidRPr="004C37C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56995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(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'dr. 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Schimanovschi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'), </w:t>
            </w:r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Paulownia </w:t>
            </w:r>
            <w:proofErr w:type="spellStart"/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elongata</w:t>
            </w:r>
            <w:proofErr w:type="spellEnd"/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(5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cultivars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  <w:r w:rsidRPr="00056995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Lavandula</w:t>
            </w:r>
            <w:proofErr w:type="spellEnd"/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augustifolia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(4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forms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the hybrid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Lavandin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</w:t>
            </w:r>
            <w:r w:rsidRPr="000569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Sequoia sempervirens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detailed description of the stages of complete development under </w:t>
            </w:r>
            <w:r w:rsidRPr="00B478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 vitro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conditions was prepared. </w:t>
            </w:r>
          </w:p>
          <w:p w14:paraId="770CEFA4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The taxa that have been studied this year </w:t>
            </w:r>
            <w:r w:rsidRPr="00056995">
              <w:rPr>
                <w:rFonts w:ascii="Times New Roman" w:hAnsi="Times New Roman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056995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Schisandra</w:t>
            </w:r>
            <w:proofErr w:type="spellEnd"/>
            <w:r w:rsidRPr="00056995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  <w:t>chinensis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 w:eastAsia="ru-RU"/>
              </w:rPr>
              <w:t>,</w:t>
            </w:r>
            <w:r w:rsidRPr="00056995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</w:t>
            </w:r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Hydrangea aspera</w:t>
            </w:r>
            <w:r w:rsidRPr="00056995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, </w:t>
            </w:r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Vaccinium </w:t>
            </w:r>
            <w:proofErr w:type="spellStart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vitis-idaea</w:t>
            </w:r>
            <w:proofErr w:type="spellEnd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 L., V. macrocarpon, V.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corimbossum</w:t>
            </w:r>
            <w:proofErr w:type="spellEnd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, Hosta </w:t>
            </w:r>
            <w:proofErr w:type="spellStart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sieboldi</w:t>
            </w:r>
            <w:proofErr w:type="spellEnd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, Hydrangea macrophylla, Corylus </w:t>
            </w:r>
            <w:proofErr w:type="spellStart"/>
            <w:r w:rsidRPr="0005699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avellana</w:t>
            </w:r>
            <w:proofErr w:type="spellEnd"/>
            <w:r w:rsidRPr="00A7568D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are at different stages of development: initiation, micropropagation and adaptation.</w:t>
            </w:r>
            <w:r w:rsidRPr="00A7568D">
              <w:t xml:space="preserve"> </w:t>
            </w:r>
            <w:r w:rsidRPr="00A7568D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The slow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and </w:t>
            </w:r>
            <w:r w:rsidRPr="00A7568D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difficult development of the taxa is caused by the conditions of adaptation to the climatic factors of the Republic of Moldova, most of them being introduced plants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. </w:t>
            </w:r>
          </w:p>
          <w:p w14:paraId="46526AC0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ab/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Morpho-anatomical studies of the leaf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blade of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the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cultivars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of </w:t>
            </w:r>
            <w:r w:rsidRPr="004B46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 xml:space="preserve">Lonicera </w:t>
            </w:r>
            <w:proofErr w:type="spellStart"/>
            <w:r w:rsidRPr="004B46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caerulea</w:t>
            </w:r>
            <w:proofErr w:type="spellEnd"/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(5 taxa), the genus </w:t>
            </w:r>
            <w:r w:rsidRPr="004B46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Rosa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(1 taxon) and some taxa from the fam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ily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B46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ru-RU"/>
              </w:rPr>
              <w:t>Amaryllidaceae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were carried out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in order to establish the possible structural changes determined by chang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ing</w:t>
            </w:r>
            <w:r w:rsidRPr="00683CF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the living environment.</w:t>
            </w:r>
          </w:p>
          <w:p w14:paraId="62D63179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ind w:firstLine="36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ab/>
              <w:t xml:space="preserve">The </w:t>
            </w:r>
            <w:r w:rsidRPr="0095294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biochemical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research</w:t>
            </w:r>
            <w:r w:rsidRPr="0095294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on the content of biologically active substances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was</w:t>
            </w:r>
            <w:r w:rsidRPr="0095294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carried out using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,</w:t>
            </w:r>
            <w:r w:rsidRPr="0095294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as biological material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>,</w:t>
            </w:r>
            <w:r w:rsidRPr="00952944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 the fruits and leaves collected from the plants of five species and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  <w:t xml:space="preserve">cultivars: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Lycium</w:t>
            </w:r>
            <w:proofErr w:type="spellEnd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barbarum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Licurici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'; 'New big'; 'Amber Sweet');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Rubus</w:t>
            </w:r>
            <w:proofErr w:type="spellEnd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fruticosus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Melana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'; 'Triple Crown'); </w:t>
            </w:r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Lonicera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caerulea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Leningradskij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Welikan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’);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Amelanchier</w:t>
            </w:r>
            <w:proofErr w:type="spellEnd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alnifolia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Mandam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Amelanchier</w:t>
            </w:r>
            <w:proofErr w:type="spellEnd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alnifolia</w:t>
            </w:r>
            <w:proofErr w:type="spellEnd"/>
            <w:r w:rsidRPr="0005699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56995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Nutt.</w:t>
            </w:r>
          </w:p>
          <w:p w14:paraId="4E34D41C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</w:pPr>
            <w:r w:rsidRPr="000A772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  <w:t xml:space="preserve">Four new taxa from the genus </w:t>
            </w:r>
            <w:proofErr w:type="spellStart"/>
            <w:r w:rsidRPr="000A772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Cornus</w:t>
            </w:r>
            <w:proofErr w:type="spellEnd"/>
            <w:r w:rsidRPr="000A772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L. and 2 taxa from the genus </w:t>
            </w:r>
            <w:proofErr w:type="spellStart"/>
            <w:r w:rsidRPr="000A772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Lycium</w:t>
            </w:r>
            <w:proofErr w:type="spellEnd"/>
            <w:r w:rsidRPr="000A772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L. were identified and mobilized.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r w:rsidRPr="00F85663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The stable distinctive characters of Japanese quince were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determined</w:t>
            </w:r>
            <w:r w:rsidRPr="00F85663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(plant habit, crown shape, abundance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of </w:t>
            </w:r>
            <w:r w:rsidRPr="00F85663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flowering, fruit set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and</w:t>
            </w:r>
            <w:r w:rsidRPr="00F85663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mesocarp percentage).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r w:rsidRPr="00E73799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The documents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were</w:t>
            </w:r>
            <w:r w:rsidRPr="00E73799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prepared for the 1st year of DUS testing, as well as for the development of the DUS guide for Japanese quince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cultivars;</w:t>
            </w:r>
            <w:r w:rsidRPr="00E73799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the set of documents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for the new candidate cultivars 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'</w:t>
            </w:r>
            <w:proofErr w:type="spellStart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Andreia</w:t>
            </w:r>
            <w:proofErr w:type="spellEnd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'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of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Cerasus</w:t>
            </w:r>
            <w:proofErr w:type="spellEnd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tomentosa</w:t>
            </w:r>
            <w:proofErr w:type="spellEnd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(Thumb.) Wall.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and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'</w:t>
            </w:r>
            <w:proofErr w:type="spellStart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Licurici</w:t>
            </w:r>
            <w:proofErr w:type="spellEnd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'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of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Lycium</w:t>
            </w:r>
            <w:proofErr w:type="spellEnd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95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en-GB"/>
              </w:rPr>
              <w:t>barbarum</w:t>
            </w:r>
            <w:proofErr w:type="spellEnd"/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L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. was submitted to the State Agency on Intellectual Property (no.</w:t>
            </w:r>
            <w:r w:rsidRPr="009A70BF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v 2022 0007,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of</w:t>
            </w:r>
            <w:r w:rsidRPr="00056995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2022.03.17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) and the </w:t>
            </w:r>
            <w:r w:rsidRPr="002C1496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State Commission for Plant Variet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y</w:t>
            </w:r>
            <w:r w:rsidRPr="002C1496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Testing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of R.M.</w:t>
            </w:r>
          </w:p>
          <w:p w14:paraId="5BBA1840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  <w:t>After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testing various conventional methods of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propagation of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fruit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shrubs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it was found that the optimal and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most 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cost-effective method of propagation for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medlar</w:t>
            </w:r>
            <w:proofErr w:type="spellEnd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0E50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moschatel</w:t>
            </w:r>
            <w:proofErr w:type="spellEnd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Japanese quince,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downy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cherry,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barberry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elder,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shadbush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etc. was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by 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sowing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, in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autumn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,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freshly cleaned seeds at a depth of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2-3 cm, but for the taxa of sea-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buckthorn, chokeberry, </w:t>
            </w:r>
            <w:proofErr w:type="spellStart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actinidia</w:t>
            </w:r>
            <w:proofErr w:type="spellEnd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wolfberry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, autumn olive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–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by </w:t>
            </w:r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lignified cuttings treated with organic and synthetic </w:t>
            </w:r>
            <w:proofErr w:type="spellStart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rhizogenesis</w:t>
            </w:r>
            <w:proofErr w:type="spellEnd"/>
            <w:r w:rsidRPr="006274C4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stimulators.</w:t>
            </w:r>
          </w:p>
          <w:p w14:paraId="0D41468A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The growth rate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f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48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studied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taxa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,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from 20 genera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,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was slower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as 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compared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>with</w:t>
            </w:r>
            <w:r w:rsidRPr="00396597"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 xml:space="preserve"> 2021.</w:t>
            </w:r>
          </w:p>
          <w:p w14:paraId="1C3BD634" w14:textId="77777777" w:rsidR="00C9089C" w:rsidRDefault="00C9089C" w:rsidP="00C9089C">
            <w:pPr>
              <w:keepNext/>
              <w:tabs>
                <w:tab w:val="left" w:pos="0"/>
              </w:tabs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en-GB"/>
              </w:rPr>
              <w:tab/>
              <w:t xml:space="preserve">The percentage of fruit set of the walnut cultivars 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Surpriz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Micleușene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',</w:t>
            </w:r>
            <w:r w:rsidRPr="00DA0A58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serving as female parent plants</w:t>
            </w:r>
            <w:r w:rsidRPr="00DA0A58">
              <w:rPr>
                <w:rFonts w:ascii="Times New Roman" w:hAnsi="Times New Roman"/>
                <w:sz w:val="24"/>
                <w:szCs w:val="24"/>
                <w:lang w:val="en-GB"/>
              </w:rPr>
              <w:t>, was higher (50-60%), being pollinated with early male forms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as</w:t>
            </w:r>
            <w:r w:rsidRPr="00DA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compared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DA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other researched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cultivars</w:t>
            </w:r>
            <w:r w:rsidRPr="00DA0A5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Dolna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', 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Nistrene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', 'De 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Vălcineț</w:t>
            </w:r>
            <w:proofErr w:type="spellEnd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', '</w:t>
            </w:r>
            <w:proofErr w:type="spellStart"/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Chiși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năuene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DA0A58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14:paraId="3E9559F7" w14:textId="77777777" w:rsidR="00C9089C" w:rsidRPr="006A3725" w:rsidRDefault="00C9089C" w:rsidP="00C9089C">
            <w:pPr>
              <w:keepNext/>
              <w:tabs>
                <w:tab w:val="left" w:pos="0"/>
              </w:tabs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Participations in radio/TV shows </w:t>
            </w:r>
            <w:r w:rsidRPr="00056995">
              <w:rPr>
                <w:rFonts w:ascii="Times New Roman" w:hAnsi="Times New Roman"/>
                <w:sz w:val="24"/>
                <w:szCs w:val="24"/>
                <w:lang w:val="en-GB"/>
              </w:rPr>
              <w:t>– 14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Scientific publications – 22. Organized excursions – 36.</w:t>
            </w:r>
            <w:r w:rsidRPr="00232460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50172C48" w14:textId="77777777" w:rsidR="00050446" w:rsidRDefault="00050446"/>
    <w:sectPr w:rsidR="0005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9B1"/>
    <w:multiLevelType w:val="multilevel"/>
    <w:tmpl w:val="CED0B0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  <w:lang w:val="ro-MD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76"/>
    <w:rsid w:val="00050446"/>
    <w:rsid w:val="000A4A76"/>
    <w:rsid w:val="00C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BB7E"/>
  <w15:chartTrackingRefBased/>
  <w15:docId w15:val="{06753E65-434C-4C54-A84E-8559019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89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2022-11-17T10:41:00Z</dcterms:created>
  <dcterms:modified xsi:type="dcterms:W3CDTF">2022-11-17T10:44:00Z</dcterms:modified>
</cp:coreProperties>
</file>