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1E52" w14:textId="44219EE8" w:rsidR="009E3743" w:rsidRPr="009E3743" w:rsidRDefault="009E3743" w:rsidP="009E3743">
      <w:pPr>
        <w:keepNext/>
        <w:spacing w:after="60" w:line="276" w:lineRule="auto"/>
        <w:jc w:val="center"/>
        <w:outlineLvl w:val="0"/>
        <w:rPr>
          <w:rFonts w:ascii="Times New Roman" w:hAnsi="Times New Roman"/>
          <w:b/>
          <w:bCs/>
          <w:color w:val="3B3B3B"/>
          <w:sz w:val="28"/>
          <w:szCs w:val="28"/>
          <w:bdr w:val="none" w:sz="0" w:space="0" w:color="auto" w:frame="1"/>
        </w:rPr>
      </w:pPr>
      <w:r w:rsidRPr="009E3743">
        <w:rPr>
          <w:rFonts w:ascii="Times New Roman" w:hAnsi="Times New Roman"/>
          <w:b/>
          <w:bCs/>
          <w:color w:val="3B3B3B"/>
          <w:sz w:val="28"/>
          <w:szCs w:val="28"/>
          <w:bdr w:val="none" w:sz="0" w:space="0" w:color="auto" w:frame="1"/>
        </w:rPr>
        <w:t>REZUMATUL RAPORTULUI ȘTIINȚIFIC</w:t>
      </w:r>
    </w:p>
    <w:p w14:paraId="3D787AF8" w14:textId="339A1549" w:rsidR="009E3743" w:rsidRPr="009E3743" w:rsidRDefault="009E3743" w:rsidP="009E3743">
      <w:pPr>
        <w:tabs>
          <w:tab w:val="left" w:pos="2940"/>
        </w:tabs>
        <w:spacing w:after="0" w:line="360" w:lineRule="auto"/>
        <w:jc w:val="center"/>
        <w:rPr>
          <w:rFonts w:ascii="Times New Roman" w:hAnsi="Times New Roman"/>
          <w:b/>
          <w:i/>
          <w:iCs/>
          <w:sz w:val="28"/>
          <w:szCs w:val="24"/>
        </w:rPr>
      </w:pPr>
      <w:r w:rsidRPr="009E3743">
        <w:rPr>
          <w:rFonts w:ascii="Times New Roman" w:hAnsi="Times New Roman"/>
          <w:b/>
          <w:i/>
          <w:iCs/>
          <w:sz w:val="28"/>
          <w:szCs w:val="24"/>
        </w:rPr>
        <w:t xml:space="preserve">privind realizarea în 2022 a  proiectului din cadrul Programului de Stat </w:t>
      </w:r>
    </w:p>
    <w:p w14:paraId="263DAF11" w14:textId="77777777" w:rsidR="009E3743" w:rsidRPr="00454ACD" w:rsidRDefault="009E3743" w:rsidP="009E3743">
      <w:pPr>
        <w:tabs>
          <w:tab w:val="left" w:pos="2940"/>
        </w:tabs>
        <w:spacing w:after="0" w:line="360" w:lineRule="auto"/>
        <w:jc w:val="center"/>
        <w:rPr>
          <w:rFonts w:ascii="Times New Roman" w:hAnsi="Times New Roman"/>
          <w:b/>
          <w:sz w:val="28"/>
          <w:szCs w:val="28"/>
        </w:rPr>
      </w:pPr>
      <w:r w:rsidRPr="00454ACD">
        <w:rPr>
          <w:rFonts w:ascii="Times New Roman" w:hAnsi="Times New Roman"/>
          <w:b/>
          <w:sz w:val="28"/>
          <w:szCs w:val="28"/>
        </w:rPr>
        <w:t xml:space="preserve">„Sisteme integrate autohtone de tracţiune electrică pentru </w:t>
      </w:r>
    </w:p>
    <w:p w14:paraId="54C2214E" w14:textId="463A8A39" w:rsidR="009E3743" w:rsidRPr="00454ACD" w:rsidRDefault="009E3743" w:rsidP="009E3743">
      <w:pPr>
        <w:tabs>
          <w:tab w:val="left" w:pos="2940"/>
        </w:tabs>
        <w:spacing w:after="0" w:line="360" w:lineRule="auto"/>
        <w:jc w:val="center"/>
        <w:rPr>
          <w:rFonts w:ascii="Times New Roman" w:hAnsi="Times New Roman"/>
          <w:b/>
          <w:sz w:val="28"/>
          <w:szCs w:val="28"/>
        </w:rPr>
      </w:pPr>
      <w:r w:rsidRPr="00454ACD">
        <w:rPr>
          <w:rFonts w:ascii="Times New Roman" w:hAnsi="Times New Roman"/>
          <w:b/>
          <w:sz w:val="28"/>
          <w:szCs w:val="28"/>
        </w:rPr>
        <w:t>vehicule urbane de pasageri”</w:t>
      </w:r>
      <w:r>
        <w:rPr>
          <w:rFonts w:ascii="Times New Roman" w:hAnsi="Times New Roman"/>
          <w:b/>
          <w:sz w:val="28"/>
          <w:szCs w:val="28"/>
        </w:rPr>
        <w:t xml:space="preserve"> (ELTRAC), </w:t>
      </w:r>
      <w:r w:rsidRPr="00454ACD">
        <w:rPr>
          <w:rFonts w:ascii="Times New Roman" w:hAnsi="Times New Roman"/>
          <w:b/>
          <w:sz w:val="28"/>
          <w:szCs w:val="28"/>
        </w:rPr>
        <w:t>20.80009.5007.29</w:t>
      </w:r>
    </w:p>
    <w:p w14:paraId="1C1BAEE3" w14:textId="77777777" w:rsidR="009E3743" w:rsidRDefault="009E3743" w:rsidP="009E3743">
      <w:pPr>
        <w:keepNext/>
        <w:spacing w:after="60" w:line="276" w:lineRule="auto"/>
        <w:jc w:val="both"/>
        <w:outlineLvl w:val="0"/>
        <w:rPr>
          <w:rFonts w:ascii="Times New Roman" w:hAnsi="Times New Roman"/>
          <w:iCs/>
          <w:kern w:val="32"/>
          <w:sz w:val="24"/>
          <w:szCs w:val="24"/>
        </w:rPr>
      </w:pPr>
    </w:p>
    <w:p w14:paraId="4C43E8FC" w14:textId="4CCCB575" w:rsidR="009E3743" w:rsidRPr="00454ACD" w:rsidRDefault="009E3743" w:rsidP="009E3743">
      <w:pPr>
        <w:keepNext/>
        <w:spacing w:after="60" w:line="276" w:lineRule="auto"/>
        <w:jc w:val="both"/>
        <w:outlineLvl w:val="0"/>
        <w:rPr>
          <w:rFonts w:ascii="Times New Roman" w:hAnsi="Times New Roman"/>
          <w:iCs/>
          <w:kern w:val="32"/>
          <w:sz w:val="24"/>
          <w:szCs w:val="24"/>
        </w:rPr>
      </w:pPr>
      <w:r w:rsidRPr="00454ACD">
        <w:rPr>
          <w:rFonts w:ascii="Times New Roman" w:hAnsi="Times New Roman"/>
          <w:iCs/>
          <w:kern w:val="32"/>
          <w:sz w:val="24"/>
          <w:szCs w:val="24"/>
        </w:rPr>
        <w:t xml:space="preserve">Subiectul programului de cercetare ELTRAC se referă la dezvoltarea și cercetarea sistemelor performante de tracțiune pentru troleibuze/electrobuze, constituite din convertoare statice și motoare asincrone  hexafazate. Pentru anul 2022 au fost planificate și realizate acțiuni axate în principal pe elaborarea și cercetarea motoarelor asincrone cu  înfășurări simetrice și asimetrice hexafazate. </w:t>
      </w:r>
    </w:p>
    <w:p w14:paraId="644DF618" w14:textId="77777777" w:rsidR="009E3743" w:rsidRPr="00454ACD" w:rsidRDefault="009E3743" w:rsidP="009E3743">
      <w:pPr>
        <w:spacing w:after="60" w:line="276" w:lineRule="auto"/>
        <w:jc w:val="both"/>
        <w:rPr>
          <w:rFonts w:ascii="Times New Roman" w:eastAsia="Times New Roman" w:hAnsi="Times New Roman"/>
          <w:sz w:val="24"/>
          <w:szCs w:val="24"/>
          <w:lang w:eastAsia="ru-RU"/>
        </w:rPr>
      </w:pPr>
      <w:r w:rsidRPr="00454ACD">
        <w:rPr>
          <w:rFonts w:ascii="Times New Roman" w:hAnsi="Times New Roman"/>
          <w:iCs/>
          <w:kern w:val="32"/>
          <w:sz w:val="24"/>
          <w:szCs w:val="24"/>
        </w:rPr>
        <w:t xml:space="preserve">În acest context au fost dimensionate și elaborate mostre ale motorului asincron hexafazat în baza motorului de serie 2.2 kW, 2p=6. Prin metoda elementului finit și softul FEMM pentru comparare a fost obținut tabloul </w:t>
      </w:r>
      <w:r w:rsidRPr="00454ACD">
        <w:rPr>
          <w:rFonts w:ascii="Times New Roman" w:hAnsi="Times New Roman"/>
          <w:bCs/>
          <w:kern w:val="32"/>
          <w:sz w:val="24"/>
          <w:szCs w:val="24"/>
        </w:rPr>
        <w:t xml:space="preserve">câmpului  magnetic al motorului cu înfășurarea statorică trifazată și două variante hexafazate. </w:t>
      </w:r>
      <w:r w:rsidRPr="00454ACD">
        <w:rPr>
          <w:rFonts w:ascii="Times New Roman" w:eastAsia="Times New Roman" w:hAnsi="Times New Roman"/>
          <w:sz w:val="24"/>
          <w:szCs w:val="24"/>
          <w:lang w:eastAsia="ru-RU"/>
        </w:rPr>
        <w:t>A fost dimensionată o miniserie de motoare de tracțiune troleibuze/electrobuze cu puterea 120-180 kW, 2p=6 și au fost realizate schițe tehnice aferente.</w:t>
      </w:r>
    </w:p>
    <w:p w14:paraId="1DE6DBCD" w14:textId="77777777" w:rsidR="009E3743" w:rsidRPr="00454ACD" w:rsidRDefault="009E3743" w:rsidP="009E3743">
      <w:pPr>
        <w:spacing w:after="60" w:line="276" w:lineRule="auto"/>
        <w:jc w:val="both"/>
        <w:rPr>
          <w:rFonts w:ascii="Times New Roman" w:hAnsi="Times New Roman"/>
          <w:sz w:val="24"/>
          <w:szCs w:val="24"/>
        </w:rPr>
      </w:pPr>
      <w:r w:rsidRPr="00454ACD">
        <w:rPr>
          <w:rFonts w:ascii="Times New Roman" w:eastAsia="Times New Roman" w:hAnsi="Times New Roman"/>
          <w:sz w:val="24"/>
          <w:szCs w:val="24"/>
          <w:lang w:eastAsia="ru-RU"/>
        </w:rPr>
        <w:t xml:space="preserve">Standul de încercări al </w:t>
      </w:r>
      <w:r w:rsidRPr="00454ACD">
        <w:rPr>
          <w:rFonts w:ascii="Times New Roman" w:hAnsi="Times New Roman"/>
          <w:sz w:val="24"/>
          <w:szCs w:val="24"/>
        </w:rPr>
        <w:t xml:space="preserve">sistemului hexafazat ”Convertor static-Motor asincron” a fost dotat cu o placă  de  achiziție de date, traductoare de curenți și tensiuni, traductor cuplu/viteză unghiulară, iar controlul este asigurat de  PLC 120 SIMATIC și HMI, programe în TIA Portal.  </w:t>
      </w:r>
    </w:p>
    <w:p w14:paraId="3C8AFC39" w14:textId="77777777" w:rsidR="009E3743" w:rsidRPr="00454ACD" w:rsidRDefault="009E3743" w:rsidP="009E3743">
      <w:pPr>
        <w:spacing w:after="60" w:line="276" w:lineRule="auto"/>
        <w:jc w:val="both"/>
        <w:rPr>
          <w:rFonts w:ascii="Times New Roman" w:hAnsi="Times New Roman"/>
          <w:bCs/>
          <w:kern w:val="32"/>
          <w:sz w:val="24"/>
          <w:szCs w:val="24"/>
        </w:rPr>
      </w:pPr>
      <w:r w:rsidRPr="00454ACD">
        <w:rPr>
          <w:rFonts w:ascii="Times New Roman" w:hAnsi="Times New Roman"/>
          <w:bCs/>
          <w:kern w:val="32"/>
          <w:sz w:val="24"/>
          <w:szCs w:val="24"/>
        </w:rPr>
        <w:t xml:space="preserve">Pentru determinarea experimentală a parametrilor schemei echivalente și a pierderilor de putere  al motorului asincron hexafazat a fost elaborată și aprobată  metoda inducției cu recuperare, cu alimentarea  de la o sursă trifazată sinusoidală fără utilizarea sarcinii mecanice de încărcare. </w:t>
      </w:r>
    </w:p>
    <w:p w14:paraId="3AFAEBC0" w14:textId="77777777" w:rsidR="009E3743" w:rsidRPr="00454ACD" w:rsidRDefault="009E3743" w:rsidP="009E3743">
      <w:pPr>
        <w:spacing w:after="60" w:line="276" w:lineRule="auto"/>
        <w:jc w:val="both"/>
        <w:rPr>
          <w:rFonts w:ascii="Times New Roman" w:hAnsi="Times New Roman"/>
          <w:sz w:val="24"/>
          <w:szCs w:val="24"/>
        </w:rPr>
      </w:pPr>
      <w:r w:rsidRPr="00454ACD">
        <w:rPr>
          <w:rFonts w:ascii="Times New Roman" w:hAnsi="Times New Roman"/>
          <w:sz w:val="24"/>
          <w:szCs w:val="24"/>
        </w:rPr>
        <w:t xml:space="preserve">Pentru invertorul hexafazat cu două circuite trifazate au fost  determinate funcțiile de transfer, elaborat modelul  Simulink pentru acordarea regulatoarelor. </w:t>
      </w:r>
      <w:r w:rsidRPr="00454ACD">
        <w:rPr>
          <w:rFonts w:ascii="Times New Roman" w:hAnsi="Times New Roman"/>
          <w:bCs/>
          <w:kern w:val="32"/>
          <w:sz w:val="24"/>
          <w:szCs w:val="24"/>
        </w:rPr>
        <w:t xml:space="preserve">A fost elaborat algoritmul/programul de control scalar și implementat  pe mostra invertorului hexafazat de 5 kVA, pentru care au fost realizate măsurări și au </w:t>
      </w:r>
      <w:r w:rsidRPr="00454ACD">
        <w:rPr>
          <w:rFonts w:ascii="Times New Roman" w:hAnsi="Times New Roman"/>
          <w:sz w:val="24"/>
          <w:szCs w:val="24"/>
        </w:rPr>
        <w:t xml:space="preserve">fost obținute formele de undă ale curenților la ieșirea unui sistem simetric trifazat, forma tensiunii unei faze cu PWM și  spectrul armonicilor curenților a înfășurării statorice hexafazate. </w:t>
      </w:r>
    </w:p>
    <w:p w14:paraId="473304CF" w14:textId="77777777" w:rsidR="009E3743" w:rsidRPr="00454ACD" w:rsidRDefault="009E3743" w:rsidP="009E3743">
      <w:pPr>
        <w:keepNext/>
        <w:widowControl w:val="0"/>
        <w:autoSpaceDE w:val="0"/>
        <w:autoSpaceDN w:val="0"/>
        <w:spacing w:after="60" w:line="276" w:lineRule="auto"/>
        <w:ind w:right="57"/>
        <w:jc w:val="both"/>
        <w:outlineLvl w:val="0"/>
        <w:rPr>
          <w:rFonts w:ascii="Times New Roman" w:hAnsi="Times New Roman"/>
          <w:bCs/>
          <w:kern w:val="32"/>
          <w:sz w:val="24"/>
          <w:szCs w:val="24"/>
        </w:rPr>
      </w:pPr>
      <w:r w:rsidRPr="00454ACD">
        <w:rPr>
          <w:rFonts w:ascii="Times New Roman" w:hAnsi="Times New Roman"/>
          <w:bCs/>
          <w:sz w:val="24"/>
          <w:szCs w:val="24"/>
        </w:rPr>
        <w:t>Pentru analiza influenței perturbațiilor motorului asincron hexafazat</w:t>
      </w:r>
      <w:r w:rsidRPr="00454ACD">
        <w:rPr>
          <w:rFonts w:ascii="Times New Roman" w:hAnsi="Times New Roman"/>
          <w:bCs/>
          <w:kern w:val="32"/>
          <w:sz w:val="24"/>
          <w:szCs w:val="24"/>
        </w:rPr>
        <w:t xml:space="preserve">  au fost elaborat paratul matematic de calcul a distorsiunii armonice totale THD a curenților și tensiunilor de fază, a puteri aparente, active, reactive și distorsionante</w:t>
      </w:r>
      <w:r w:rsidRPr="00454ACD">
        <w:rPr>
          <w:rFonts w:ascii="Times New Roman" w:hAnsi="Times New Roman"/>
          <w:bCs/>
          <w:i/>
          <w:iCs/>
          <w:kern w:val="32"/>
          <w:sz w:val="24"/>
          <w:szCs w:val="24"/>
        </w:rPr>
        <w:t xml:space="preserve">, </w:t>
      </w:r>
      <w:r w:rsidRPr="00454ACD">
        <w:rPr>
          <w:rFonts w:ascii="Times New Roman" w:hAnsi="Times New Roman"/>
          <w:bCs/>
          <w:kern w:val="32"/>
          <w:sz w:val="24"/>
          <w:szCs w:val="24"/>
        </w:rPr>
        <w:t>a factorului de putere.</w:t>
      </w:r>
      <w:r w:rsidRPr="00454ACD">
        <w:rPr>
          <w:rFonts w:ascii="Times New Roman" w:hAnsi="Times New Roman"/>
          <w:bCs/>
          <w:i/>
          <w:iCs/>
          <w:kern w:val="32"/>
          <w:sz w:val="24"/>
          <w:szCs w:val="24"/>
        </w:rPr>
        <w:t xml:space="preserve"> </w:t>
      </w:r>
    </w:p>
    <w:p w14:paraId="0B4C4DCC" w14:textId="77777777" w:rsidR="009E3743" w:rsidRPr="00454ACD" w:rsidRDefault="009E3743" w:rsidP="009E3743">
      <w:pPr>
        <w:spacing w:after="60" w:line="276" w:lineRule="auto"/>
        <w:jc w:val="both"/>
        <w:rPr>
          <w:rFonts w:ascii="Times New Roman" w:hAnsi="Times New Roman"/>
          <w:sz w:val="24"/>
          <w:szCs w:val="24"/>
        </w:rPr>
      </w:pPr>
      <w:r w:rsidRPr="00454ACD">
        <w:rPr>
          <w:rFonts w:ascii="Times New Roman" w:hAnsi="Times New Roman"/>
          <w:sz w:val="24"/>
          <w:szCs w:val="24"/>
        </w:rPr>
        <w:t>A fost dezvoltat modelul complex  al electrobuzului cu integrarea sistemului hexafzat de tracțiune și a părții mecanice cu includerea diferențialul, cutiei de viteze, osiilor și roților. Modelul elaborat poate fi aplicat optimizarea transmisie mecanice, studiul caracteristicilor de tracțiune  și  estimarea eficienței energetice al vehiculului  în întregime</w:t>
      </w:r>
    </w:p>
    <w:p w14:paraId="0951415C" w14:textId="77777777" w:rsidR="009E3743" w:rsidRPr="00454ACD" w:rsidRDefault="009E3743" w:rsidP="009E3743">
      <w:pPr>
        <w:spacing w:after="60" w:line="276" w:lineRule="auto"/>
        <w:jc w:val="both"/>
        <w:rPr>
          <w:rFonts w:ascii="Times New Roman" w:hAnsi="Times New Roman"/>
          <w:sz w:val="24"/>
          <w:szCs w:val="24"/>
        </w:rPr>
      </w:pPr>
      <w:r w:rsidRPr="00454ACD">
        <w:rPr>
          <w:rFonts w:ascii="Times New Roman" w:hAnsi="Times New Roman"/>
          <w:sz w:val="24"/>
          <w:szCs w:val="24"/>
        </w:rPr>
        <w:t xml:space="preserve">Rezultatele acestor cercetări au fost diseminate prin 9 publicații științifice, 4 conferințe și 4 expoziții internaționale. </w:t>
      </w:r>
    </w:p>
    <w:p w14:paraId="0D452D62" w14:textId="77777777" w:rsidR="009E3743" w:rsidRPr="00454ACD" w:rsidRDefault="009E3743" w:rsidP="009E3743">
      <w:pPr>
        <w:spacing w:after="60" w:line="276" w:lineRule="auto"/>
        <w:jc w:val="both"/>
        <w:rPr>
          <w:rFonts w:ascii="Times New Roman" w:hAnsi="Times New Roman"/>
          <w:bCs/>
          <w:kern w:val="32"/>
          <w:sz w:val="24"/>
          <w:szCs w:val="24"/>
        </w:rPr>
      </w:pPr>
    </w:p>
    <w:p w14:paraId="31EABC9A" w14:textId="77777777" w:rsidR="009E3743" w:rsidRPr="00454ACD" w:rsidRDefault="009E3743" w:rsidP="009E3743">
      <w:pPr>
        <w:spacing w:after="60" w:line="276" w:lineRule="auto"/>
        <w:jc w:val="both"/>
        <w:rPr>
          <w:rFonts w:ascii="Times New Roman" w:hAnsi="Times New Roman"/>
          <w:sz w:val="24"/>
          <w:szCs w:val="24"/>
        </w:rPr>
      </w:pPr>
      <w:r w:rsidRPr="00454ACD">
        <w:rPr>
          <w:rFonts w:ascii="Times New Roman" w:hAnsi="Times New Roman"/>
          <w:sz w:val="24"/>
          <w:szCs w:val="24"/>
        </w:rPr>
        <w:lastRenderedPageBreak/>
        <w:t>The subject of the ELTRAC research program refers to developing and researching high-performance traction systems for trolleybuses/electric buses consisting of static converters and six-phase asynchronous motors. For 2022, actions focused mainly on developing and researching asynchronous motors with symmetrical and asymmetrical six-phase windings were planned and carried out.</w:t>
      </w:r>
    </w:p>
    <w:p w14:paraId="15523C09" w14:textId="77777777" w:rsidR="009E3743" w:rsidRPr="00454ACD" w:rsidRDefault="009E3743" w:rsidP="009E3743">
      <w:pPr>
        <w:spacing w:after="60" w:line="276" w:lineRule="auto"/>
        <w:jc w:val="both"/>
        <w:rPr>
          <w:rFonts w:ascii="Times New Roman" w:hAnsi="Times New Roman"/>
          <w:sz w:val="24"/>
          <w:szCs w:val="24"/>
        </w:rPr>
      </w:pPr>
      <w:r w:rsidRPr="00454ACD">
        <w:rPr>
          <w:rFonts w:ascii="Times New Roman" w:hAnsi="Times New Roman"/>
          <w:sz w:val="24"/>
          <w:szCs w:val="24"/>
        </w:rPr>
        <w:t>In this context, samples of the six-phase asynchronous motor based on the 2.2 kW series motor, 2p=6, were dimensioned and developed. Through the finite element method and the FEMM software for comparison, the magnetic field table of the motor with the three-phase stator winding and two six-phase variants was obtained. A miniseries of trolleybus/electric bus traction motors with the power of 120-180 kW, 2p=6 was dimensioned, and related technical sketches were made.</w:t>
      </w:r>
    </w:p>
    <w:p w14:paraId="0ED5E1D1" w14:textId="77777777" w:rsidR="009E3743" w:rsidRPr="00454ACD" w:rsidRDefault="009E3743" w:rsidP="009E3743">
      <w:pPr>
        <w:spacing w:after="60" w:line="276" w:lineRule="auto"/>
        <w:jc w:val="both"/>
        <w:rPr>
          <w:rFonts w:ascii="Times New Roman" w:hAnsi="Times New Roman"/>
          <w:sz w:val="24"/>
          <w:szCs w:val="24"/>
        </w:rPr>
      </w:pPr>
      <w:r w:rsidRPr="00454ACD">
        <w:rPr>
          <w:rFonts w:ascii="Times New Roman" w:hAnsi="Times New Roman"/>
          <w:sz w:val="24"/>
          <w:szCs w:val="24"/>
        </w:rPr>
        <w:t>The test bench of the six-phase system "Static converter-Asynchronous motor" was equipped with a data acquisition board, current and voltage transducers, torque/angular velocity transducer, and the control is provided by SIMATIC PLC 120 and HMI programs in TIA Portal.</w:t>
      </w:r>
    </w:p>
    <w:p w14:paraId="3E44B969" w14:textId="77777777" w:rsidR="009E3743" w:rsidRPr="00454ACD" w:rsidRDefault="009E3743" w:rsidP="009E3743">
      <w:pPr>
        <w:spacing w:after="60" w:line="276" w:lineRule="auto"/>
        <w:jc w:val="both"/>
        <w:rPr>
          <w:rFonts w:ascii="Times New Roman" w:hAnsi="Times New Roman"/>
          <w:sz w:val="24"/>
          <w:szCs w:val="24"/>
        </w:rPr>
      </w:pPr>
      <w:r w:rsidRPr="00454ACD">
        <w:rPr>
          <w:rFonts w:ascii="Times New Roman" w:hAnsi="Times New Roman"/>
          <w:sz w:val="24"/>
          <w:szCs w:val="24"/>
        </w:rPr>
        <w:t>For the experimental determination of the parameters of the equivalent scheme and the power losses of the six-phase asynchronous motor, the method of induction with recuperation was developed and approved, with the supply from a sinusoidal three-phase source without the use of mechanical load.</w:t>
      </w:r>
    </w:p>
    <w:p w14:paraId="6D89CA9B" w14:textId="77777777" w:rsidR="009E3743" w:rsidRPr="00454ACD" w:rsidRDefault="009E3743" w:rsidP="009E3743">
      <w:pPr>
        <w:spacing w:after="60" w:line="276" w:lineRule="auto"/>
        <w:jc w:val="both"/>
        <w:rPr>
          <w:rFonts w:ascii="Times New Roman" w:hAnsi="Times New Roman"/>
          <w:sz w:val="24"/>
          <w:szCs w:val="24"/>
        </w:rPr>
      </w:pPr>
      <w:r w:rsidRPr="00454ACD">
        <w:rPr>
          <w:rFonts w:ascii="Times New Roman" w:hAnsi="Times New Roman"/>
          <w:sz w:val="24"/>
          <w:szCs w:val="24"/>
        </w:rPr>
        <w:t>The transfer functions were determined for the six-phase inverter with two three-phase circuits, and the Simulink model was developed for tuning the regulators. The scalar control algorithm/program was developed and implemented on the sample of the 5 kVA six-phase inverter, for which measurements were made and the waveforms of the currents at the output of a symmetrical three-phase system, the voltage form of a phase with PWM and the spectrum of currents harmonics of the six-phase stator winding were obtained.</w:t>
      </w:r>
    </w:p>
    <w:p w14:paraId="5A2E97DD" w14:textId="77777777" w:rsidR="009E3743" w:rsidRPr="00454ACD" w:rsidRDefault="009E3743" w:rsidP="009E3743">
      <w:pPr>
        <w:spacing w:after="60" w:line="276" w:lineRule="auto"/>
        <w:jc w:val="both"/>
        <w:rPr>
          <w:rFonts w:ascii="Times New Roman" w:hAnsi="Times New Roman"/>
          <w:sz w:val="24"/>
          <w:szCs w:val="24"/>
        </w:rPr>
      </w:pPr>
      <w:r w:rsidRPr="00454ACD">
        <w:rPr>
          <w:rFonts w:ascii="Times New Roman" w:hAnsi="Times New Roman"/>
          <w:sz w:val="24"/>
          <w:szCs w:val="24"/>
        </w:rPr>
        <w:t>For the analysis of the influence of disturbances of the six-phase asynchronous motor, the mathematical apparatus for calculating the total harmonic distortion THD of phase currents and voltages, of apparent, active, reactive and distorting powers, of the power factor was developed.</w:t>
      </w:r>
    </w:p>
    <w:p w14:paraId="4884E75B" w14:textId="77777777" w:rsidR="009E3743" w:rsidRPr="00454ACD" w:rsidRDefault="009E3743" w:rsidP="009E3743">
      <w:pPr>
        <w:spacing w:after="60" w:line="276" w:lineRule="auto"/>
        <w:jc w:val="both"/>
        <w:rPr>
          <w:rFonts w:ascii="Times New Roman" w:hAnsi="Times New Roman"/>
          <w:sz w:val="24"/>
          <w:szCs w:val="24"/>
        </w:rPr>
      </w:pPr>
      <w:r w:rsidRPr="00454ACD">
        <w:rPr>
          <w:rFonts w:ascii="Times New Roman" w:hAnsi="Times New Roman"/>
          <w:sz w:val="24"/>
          <w:szCs w:val="24"/>
        </w:rPr>
        <w:t>The complex model of the electric bus was developed with the integration of the six-phase traction system and the mechanical part, including the differential, gearbox, axles, and wheels. The developed model can be applied to the optimization of mechanical transmission, the study of traction characteristics and the estimation of the vehicle's energy efficiency.</w:t>
      </w:r>
    </w:p>
    <w:p w14:paraId="5872A6EF" w14:textId="2DAC6161" w:rsidR="0001034F" w:rsidRDefault="009E3743" w:rsidP="009E3743">
      <w:r w:rsidRPr="00454ACD">
        <w:rPr>
          <w:rFonts w:ascii="Times New Roman" w:hAnsi="Times New Roman"/>
          <w:sz w:val="24"/>
          <w:szCs w:val="24"/>
        </w:rPr>
        <w:t>The results of these researches were disseminated through 9 scientific publications, 4 conferences and 4 international exhibitions.</w:t>
      </w:r>
    </w:p>
    <w:sectPr w:rsidR="00010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43"/>
    <w:rsid w:val="00084897"/>
    <w:rsid w:val="00086E66"/>
    <w:rsid w:val="000B0EA0"/>
    <w:rsid w:val="000E1656"/>
    <w:rsid w:val="001100D5"/>
    <w:rsid w:val="00117EB1"/>
    <w:rsid w:val="001259C9"/>
    <w:rsid w:val="0019038C"/>
    <w:rsid w:val="001936F7"/>
    <w:rsid w:val="001C10E9"/>
    <w:rsid w:val="002134A5"/>
    <w:rsid w:val="00236F0C"/>
    <w:rsid w:val="0028108E"/>
    <w:rsid w:val="00290072"/>
    <w:rsid w:val="002A1C9F"/>
    <w:rsid w:val="002B67B7"/>
    <w:rsid w:val="002B6DD5"/>
    <w:rsid w:val="002C705E"/>
    <w:rsid w:val="003342CE"/>
    <w:rsid w:val="00364AFC"/>
    <w:rsid w:val="003D0BB6"/>
    <w:rsid w:val="00420DBE"/>
    <w:rsid w:val="00455138"/>
    <w:rsid w:val="00465484"/>
    <w:rsid w:val="004C591A"/>
    <w:rsid w:val="004D76D4"/>
    <w:rsid w:val="00537BD9"/>
    <w:rsid w:val="005426C8"/>
    <w:rsid w:val="00582E33"/>
    <w:rsid w:val="005B3A46"/>
    <w:rsid w:val="005B6540"/>
    <w:rsid w:val="005F45BD"/>
    <w:rsid w:val="00645080"/>
    <w:rsid w:val="006651BF"/>
    <w:rsid w:val="00671768"/>
    <w:rsid w:val="0067542B"/>
    <w:rsid w:val="00675592"/>
    <w:rsid w:val="006C43C0"/>
    <w:rsid w:val="006C6EF6"/>
    <w:rsid w:val="006F024B"/>
    <w:rsid w:val="00706AA8"/>
    <w:rsid w:val="0072774C"/>
    <w:rsid w:val="00762388"/>
    <w:rsid w:val="00770DA3"/>
    <w:rsid w:val="007A0A74"/>
    <w:rsid w:val="007B4444"/>
    <w:rsid w:val="007D75BA"/>
    <w:rsid w:val="007E1307"/>
    <w:rsid w:val="00802CF9"/>
    <w:rsid w:val="008403C1"/>
    <w:rsid w:val="008A4CC6"/>
    <w:rsid w:val="008B4055"/>
    <w:rsid w:val="008F3C6B"/>
    <w:rsid w:val="009149EB"/>
    <w:rsid w:val="00976EC8"/>
    <w:rsid w:val="009A2FFC"/>
    <w:rsid w:val="009D753B"/>
    <w:rsid w:val="009E3743"/>
    <w:rsid w:val="009E46D3"/>
    <w:rsid w:val="009F1AE7"/>
    <w:rsid w:val="009F23C6"/>
    <w:rsid w:val="00A04115"/>
    <w:rsid w:val="00A32F2B"/>
    <w:rsid w:val="00A4326C"/>
    <w:rsid w:val="00AB48C9"/>
    <w:rsid w:val="00B2693A"/>
    <w:rsid w:val="00B446CA"/>
    <w:rsid w:val="00B84374"/>
    <w:rsid w:val="00BE6D19"/>
    <w:rsid w:val="00C15D46"/>
    <w:rsid w:val="00C44048"/>
    <w:rsid w:val="00C70AEC"/>
    <w:rsid w:val="00D11D69"/>
    <w:rsid w:val="00D13676"/>
    <w:rsid w:val="00E04950"/>
    <w:rsid w:val="00E32873"/>
    <w:rsid w:val="00E97FF3"/>
    <w:rsid w:val="00EA5FCB"/>
    <w:rsid w:val="00EB0928"/>
    <w:rsid w:val="00ED6AE3"/>
    <w:rsid w:val="00EE5DF5"/>
    <w:rsid w:val="00EF0B48"/>
    <w:rsid w:val="00F37D00"/>
    <w:rsid w:val="00F95F74"/>
    <w:rsid w:val="00FC1B83"/>
    <w:rsid w:val="00FC373E"/>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9008"/>
  <w15:chartTrackingRefBased/>
  <w15:docId w15:val="{187711D8-0D41-4BFC-BEF6-A2CD022C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743"/>
    <w:rPr>
      <w:rFonts w:ascii="Calibri" w:eastAsia="Calibri" w:hAnsi="Calibri" w:cs="Times New Roman"/>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Nuca Ilie</dc:creator>
  <cp:keywords/>
  <dc:description/>
  <cp:lastModifiedBy>Nuca Ilie</cp:lastModifiedBy>
  <cp:revision>2</cp:revision>
  <dcterms:created xsi:type="dcterms:W3CDTF">2022-11-18T09:33:00Z</dcterms:created>
  <dcterms:modified xsi:type="dcterms:W3CDTF">2022-11-18T09:41:00Z</dcterms:modified>
</cp:coreProperties>
</file>