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6758A" w:rsidRPr="00E6758A" w14:paraId="2DEF6ECE" w14:textId="77777777" w:rsidTr="00E6758A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8FD" w14:textId="611F1C14" w:rsidR="00E6758A" w:rsidRDefault="00E6758A" w:rsidP="00E6758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18. </w:t>
            </w:r>
            <w:r w:rsidRPr="00E6758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Rezumatul activității și a rezultatelor obținute în proiect</w:t>
            </w:r>
          </w:p>
          <w:p w14:paraId="5085D58C" w14:textId="78A3C5E5" w:rsidR="00E6758A" w:rsidRPr="00E6758A" w:rsidRDefault="00E6758A" w:rsidP="00E6758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REZUMAT</w:t>
            </w:r>
          </w:p>
          <w:p w14:paraId="395E3806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val="pt-BR"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Au fost întocmite borderourile cu date statistice generalizate și sistematizate privind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supafeţele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recoltele culturilor agricole, administrarea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îngrăşămintelor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minerale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organice  în scopul</w:t>
            </w:r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evaluării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>bilanţului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humusului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elementelor nutritive  în agricultura  Moldovei </w:t>
            </w: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în perioada 1991-2020.   A</w:t>
            </w:r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val="pt-BR" w:eastAsia="ro-RO" w:bidi="ro-RO"/>
              </w:rPr>
              <w:t xml:space="preserve"> fost supusă  cercetării suprafaţa agricolă  anuală de cca 1770-1755 mii ha.   Aplicarea îngrăşămintelor  a variat de la 6447 tone în 1996-2000 pînă la 76595 tone în 2016-2020,  iar a celor organice  respectiv  de la 3,9 mln  la 78 mii tone.</w:t>
            </w:r>
          </w:p>
          <w:p w14:paraId="6E9801B0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val="pt-BR"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val="pt-BR" w:eastAsia="ro-RO" w:bidi="ro-RO"/>
              </w:rPr>
              <w:t xml:space="preserve">     </w:t>
            </w: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S-a  determinat bilanțul  humusului, azotului, fosforului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potasiului pe   15 culturi, după 3 parametri- kg/ha, t/ha</w:t>
            </w:r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 pe întreaga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>peroadă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  mii tone   pe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>suprafaţa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o-RO" w:bidi="ro-RO"/>
              </w:rPr>
              <w:t xml:space="preserve"> agricolă totală. </w:t>
            </w: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În urma evaluării  efectuate s-a stabilit că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humusului în timp de 30 de ani a fost negativ la toate culturile din studiu. La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grăul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toamnă, porumb boabe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floarea-soarelui care  împreună ocupă cca  1,1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mln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ha   sau cca 70 % din terenul arabil  al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ţării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anual al humusului a constituit  -1003 -1162 kg/ha. Din 1991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pînă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în 2020  sub aceste culturi s-au pierdut la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6758A">
                <w:rPr>
                  <w:rFonts w:ascii="Times New Roman" w:eastAsia="Microsoft Sans Serif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>1 ha</w:t>
              </w:r>
            </w:smartTag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-30 t. -35 t. de humus. La culturile  pomicole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humusului a fost  de  -273 kg/ha, iar sub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viţa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vie de - 382 kg/ha  </w:t>
            </w:r>
          </w:p>
          <w:p w14:paraId="5885B007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Pe ansamblul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suprafeţei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evaluate de 1,771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mln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anual al humusului  în medie pe perioada 1991-2020  este  negativ de cca -840 kg/ha, iar la arabil -969 kg/ha. În total în această perioadă la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6758A">
                <w:rPr>
                  <w:rFonts w:ascii="Times New Roman" w:eastAsia="Microsoft Sans Serif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>1 ha</w:t>
              </w:r>
            </w:smartTag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teren agricol s-a pierdut cca 25,3 t/ha de  materie organică.     </w:t>
            </w:r>
          </w:p>
          <w:p w14:paraId="1BBED662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În  medie  pe 30 de  ani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bilanţul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azotului  a fost negativ  de -36,2 kg/ha, deficitul total  a  fost de cca 1200 kg/ha. S-a înregistrat un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bilanţ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pozitiv/neutru de fosfor  la sfecla de zahăr +9,5 kg/ha, legume +1,0 kg/ha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tutun +0,4 kg/ha.  Media  fiind -15 kg/ha. Deficitul potasiului a constituit - 54 kg/ha. În total  s-a extras din sol cca 1620 de kg/ha de potasiu.</w:t>
            </w:r>
          </w:p>
          <w:p w14:paraId="03333F47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În total la arabil anual se pierd din circuitul agricol 1262 mii tone de humus, 63  mii tone  de azot, 24 mii t. de fosfor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88 mii t. de potasiu,  sub culturile multianuale respectiv 42-56 mii t. de materie organică  2,1-2,8 mii t. de azot, 2,0 - 3,6 mii tone de fosfor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2,0-4,4 mii t. de potasiu. Raportat în medie  la  întreaga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suprafaţă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agricolă cercetată deficitul  anual a constituit 1316 mii t. de humus, 64,1 mii t. de azot, 26,7 mii t. de fosfor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96 mii tone de potasiu.</w:t>
            </w:r>
          </w:p>
          <w:p w14:paraId="600F39D1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În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experienţele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cîmp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s-au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obţinut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date  noi  privind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evoluţia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stării regimurilor nutritive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productivităţii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culturilor agricole sub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influenţa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îngrăşămintelor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minerale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>şi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kern w:val="24"/>
                <w:sz w:val="24"/>
                <w:szCs w:val="24"/>
                <w:lang w:eastAsia="ro-RO" w:bidi="ro-RO"/>
              </w:rPr>
              <w:t xml:space="preserve"> organice în sco</w:t>
            </w: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pul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perfecţionarii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recomandărilor privind aplicarea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îngrăşămintelor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în asolamentele de câmp. S-a stabilit că în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condiţiile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secetoase  ale a anului acesta  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influenţa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 fost nesemnificativă 7-15 %.</w:t>
            </w:r>
          </w:p>
          <w:p w14:paraId="4329FB84" w14:textId="77777777" w:rsidR="00E6758A" w:rsidRPr="00E6758A" w:rsidRDefault="00E6758A" w:rsidP="00E6758A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RESUME</w:t>
            </w:r>
          </w:p>
          <w:p w14:paraId="3CA2D9B6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slips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were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prepared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with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generalized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systematized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statistical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data on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surfaces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harvests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administration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mineral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organic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fertilizers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order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evaluate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nutritional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elements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Moldova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period 1991-2020.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annual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area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​​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approximately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1770-1755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subjected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research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application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fertilizers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varied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from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6447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1996-2000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76595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2016-2020,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organic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ones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respectively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from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3.9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million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78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  <w:p w14:paraId="4E86DE07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humus, nitrogen,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phosphorus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determined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on 15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according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3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parameters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 kg/ha, t/ha on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entire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period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total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area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Following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evaluation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established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that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over 30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years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negative 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all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study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autumn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wheat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grain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corn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sunflower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which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together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occupy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about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1.1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million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ha 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about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70%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country's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arable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land,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annual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lastRenderedPageBreak/>
              <w:t xml:space="preserve">of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-1003 -1162 kg/ha.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From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1991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until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2020,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under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these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-30 t. -35 t. of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were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lost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6758A">
                <w:rPr>
                  <w:rFonts w:ascii="Times New Roman" w:eastAsia="Microsoft Sans Serif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>1 ha</w:t>
              </w:r>
            </w:smartTag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fruit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-273 kg/ha,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under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vines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- 382 kg/ha</w:t>
            </w:r>
          </w:p>
          <w:p w14:paraId="27009440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On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whole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assessed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surface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1.771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million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ha,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average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annual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humus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period 1991-2020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is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negative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approx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-840 kg/ha,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for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arable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land -969 kg/ha. In total,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during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this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period,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approximately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25.3 t/ha of organic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matter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lost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per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6758A">
                <w:rPr>
                  <w:rFonts w:ascii="Times New Roman" w:eastAsia="Microsoft Sans Serif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>1 ha</w:t>
              </w:r>
            </w:smartTag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land. On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average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over 30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years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nitrogen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negative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-36.2 kg/ha,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total deficit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about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1200 kg/ha. 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positive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/neutral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phosphorus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balance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recorded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for sugar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beet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+9.5 kg/ha,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vegetables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+1.0 kg/ha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tobacco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+0.4 kg/ha.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average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being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-15 kg/ha. The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deficit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- 54 kg/ha. In total,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about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1620 kg/ha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extracted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from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soil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  <w:p w14:paraId="5C442FB1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In total, 1,262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humus, 63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nitrogen, 24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phosphorus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88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are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lost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from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circuit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annually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under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perennial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respectively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42-56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organic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matter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 ,1-2.8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t. of nitrogen, 2.0-3.6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t.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phosphorus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2.0-4.4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t.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Compared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average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entire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researched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area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annual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deficit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1316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humus, 64.1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nitrogen, 26.7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phosphorus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96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thousand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potassium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  <w:p w14:paraId="3EE68E57" w14:textId="77777777" w:rsidR="00E6758A" w:rsidRPr="00E6758A" w:rsidRDefault="00E6758A" w:rsidP="00E6758A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   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field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experiments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new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data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were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obtained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regarding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evolution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state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nutritional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regimes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productivity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agricultural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crops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under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influence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mineral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and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organic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fertilizers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order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to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improve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recommendations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regarding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application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fertilizers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field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rotations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It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established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that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dry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conditions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of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this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year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the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influence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>was</w:t>
            </w:r>
            <w:proofErr w:type="spellEnd"/>
            <w:r w:rsidRPr="00E6758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insignificant 7-15%.</w:t>
            </w:r>
          </w:p>
        </w:tc>
      </w:tr>
    </w:tbl>
    <w:p w14:paraId="1C3C8C8E" w14:textId="4BA3D091" w:rsidR="00E6758A" w:rsidRPr="00E6758A" w:rsidRDefault="00E6758A" w:rsidP="00E6758A">
      <w:pPr>
        <w:keepNext/>
        <w:spacing w:after="120" w:line="276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14:paraId="5E903613" w14:textId="77777777" w:rsidR="00D249F6" w:rsidRDefault="00D249F6"/>
    <w:sectPr w:rsidR="00D249F6" w:rsidSect="003B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E4E5" w14:textId="77777777" w:rsidR="00DE2DDC" w:rsidRDefault="00DE2DDC" w:rsidP="00E6758A">
      <w:pPr>
        <w:spacing w:after="0" w:line="240" w:lineRule="auto"/>
      </w:pPr>
      <w:r>
        <w:separator/>
      </w:r>
    </w:p>
  </w:endnote>
  <w:endnote w:type="continuationSeparator" w:id="0">
    <w:p w14:paraId="19EC888B" w14:textId="77777777" w:rsidR="00DE2DDC" w:rsidRDefault="00DE2DDC" w:rsidP="00E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0F0B" w14:textId="77777777" w:rsidR="00DE2DDC" w:rsidRDefault="00DE2DDC" w:rsidP="00E6758A">
      <w:pPr>
        <w:spacing w:after="0" w:line="240" w:lineRule="auto"/>
      </w:pPr>
      <w:r>
        <w:separator/>
      </w:r>
    </w:p>
  </w:footnote>
  <w:footnote w:type="continuationSeparator" w:id="0">
    <w:p w14:paraId="6C510C77" w14:textId="77777777" w:rsidR="00DE2DDC" w:rsidRDefault="00DE2DDC" w:rsidP="00E6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D"/>
    <w:rsid w:val="003B04D5"/>
    <w:rsid w:val="0076450D"/>
    <w:rsid w:val="00D249F6"/>
    <w:rsid w:val="00DE2DDC"/>
    <w:rsid w:val="00E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D2E08"/>
  <w15:chartTrackingRefBased/>
  <w15:docId w15:val="{6BFF4C2D-E2B6-4277-AEF6-75A658EB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58A"/>
  </w:style>
  <w:style w:type="paragraph" w:styleId="a5">
    <w:name w:val="footer"/>
    <w:basedOn w:val="a"/>
    <w:link w:val="a6"/>
    <w:uiPriority w:val="99"/>
    <w:unhideWhenUsed/>
    <w:rsid w:val="00E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2022-11-18T13:41:00Z</dcterms:created>
  <dcterms:modified xsi:type="dcterms:W3CDTF">2022-11-18T13:42:00Z</dcterms:modified>
</cp:coreProperties>
</file>