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E076C" w14:textId="77777777" w:rsidR="005D0E75" w:rsidRPr="005A27FB" w:rsidRDefault="005D0E75" w:rsidP="005D0E75">
      <w:pPr>
        <w:pStyle w:val="NormalWeb"/>
        <w:ind w:firstLine="708"/>
        <w:rPr>
          <w:color w:val="000000"/>
          <w:lang w:val="ro-RO"/>
        </w:rPr>
      </w:pPr>
      <w:r w:rsidRPr="005A27FB">
        <w:rPr>
          <w:color w:val="000000"/>
          <w:lang w:val="ro-RO"/>
        </w:rPr>
        <w:t>În anul 2022 cercetările în cadrul proiectului din cadrul Programului de Stat (2020–2023)</w:t>
      </w:r>
    </w:p>
    <w:p w14:paraId="2B5605E6" w14:textId="7DD5560F" w:rsidR="005D0E75" w:rsidRPr="005A27FB" w:rsidRDefault="005D0E75" w:rsidP="005D0E75">
      <w:pPr>
        <w:pStyle w:val="NormalWeb"/>
        <w:ind w:firstLine="0"/>
        <w:rPr>
          <w:kern w:val="32"/>
          <w:lang w:val="ro-MD"/>
        </w:rPr>
      </w:pPr>
      <w:r w:rsidRPr="005A27FB">
        <w:rPr>
          <w:color w:val="000000"/>
          <w:lang w:val="ro-RO"/>
        </w:rPr>
        <w:t>20.80009.0807.21 ”Migrația, schimbări demografice și politici de stabilizare</w:t>
      </w:r>
      <w:r w:rsidR="0076670D">
        <w:rPr>
          <w:color w:val="000000"/>
          <w:lang w:val="ro-RO"/>
        </w:rPr>
        <w:t xml:space="preserve"> a situației” au fost axate pe </w:t>
      </w:r>
      <w:r w:rsidR="00E46C44" w:rsidRPr="005A27FB">
        <w:rPr>
          <w:kern w:val="32"/>
          <w:lang w:val="ro-MD"/>
        </w:rPr>
        <w:t>cercetarea</w:t>
      </w:r>
      <w:r w:rsidRPr="005A27FB">
        <w:rPr>
          <w:kern w:val="32"/>
          <w:lang w:val="ro-MD"/>
        </w:rPr>
        <w:t xml:space="preserve"> </w:t>
      </w:r>
      <w:proofErr w:type="spellStart"/>
      <w:r w:rsidRPr="005A27FB">
        <w:rPr>
          <w:kern w:val="32"/>
          <w:lang w:val="ro-MD"/>
        </w:rPr>
        <w:t>cross</w:t>
      </w:r>
      <w:proofErr w:type="spellEnd"/>
      <w:r w:rsidRPr="005A27FB">
        <w:rPr>
          <w:kern w:val="32"/>
          <w:lang w:val="ro-MD"/>
        </w:rPr>
        <w:t xml:space="preserve"> sectorială a impactului migrației și schimbărilor demografice asupra economiei și diferitor sisteme sociale, elaborarea recomandărilor de politici din perspectivă rezilienței demografice – o nouă abordare adoptată de guvernelor țărilor europene, inclusiv de Republica Moldova.</w:t>
      </w:r>
    </w:p>
    <w:p w14:paraId="2BCE09D6" w14:textId="608B6950" w:rsidR="000C7B52" w:rsidRPr="005A27FB" w:rsidRDefault="00A565AA" w:rsidP="005D0E75">
      <w:pPr>
        <w:pStyle w:val="NormalWeb"/>
        <w:ind w:firstLine="706"/>
        <w:rPr>
          <w:color w:val="000000"/>
          <w:lang w:val="ro-RO"/>
        </w:rPr>
      </w:pPr>
      <w:r w:rsidRPr="005A27FB">
        <w:rPr>
          <w:color w:val="000000"/>
          <w:lang w:val="ro-RO"/>
        </w:rPr>
        <w:t>În urma i</w:t>
      </w:r>
      <w:r w:rsidR="005D0E75" w:rsidRPr="005A27FB">
        <w:rPr>
          <w:color w:val="000000"/>
          <w:lang w:val="ro-RO"/>
        </w:rPr>
        <w:t>mplement</w:t>
      </w:r>
      <w:r w:rsidRPr="005A27FB">
        <w:rPr>
          <w:color w:val="000000"/>
          <w:lang w:val="ro-RO"/>
        </w:rPr>
        <w:t>ării</w:t>
      </w:r>
      <w:r w:rsidR="000C7B52" w:rsidRPr="005A27FB">
        <w:rPr>
          <w:color w:val="000000"/>
          <w:lang w:val="ro-RO"/>
        </w:rPr>
        <w:t xml:space="preserve"> metodologiei Conturilor Naționale de Transfer  </w:t>
      </w:r>
      <w:r w:rsidRPr="005A27FB">
        <w:rPr>
          <w:color w:val="000000"/>
          <w:lang w:val="ro-RO"/>
        </w:rPr>
        <w:t xml:space="preserve">au fost analizate </w:t>
      </w:r>
      <w:r w:rsidR="00540C00" w:rsidRPr="005A27FB">
        <w:rPr>
          <w:color w:val="000000"/>
          <w:lang w:val="ro-RO"/>
        </w:rPr>
        <w:t xml:space="preserve">aspectele ce țin de generarea veniturilor și consumul populației pe parcursul ciclului economic de viață, </w:t>
      </w:r>
      <w:r w:rsidRPr="005A27FB">
        <w:rPr>
          <w:color w:val="000000"/>
          <w:lang w:val="ro-RO"/>
        </w:rPr>
        <w:t>transferuri publice și private</w:t>
      </w:r>
      <w:r w:rsidR="00540C00" w:rsidRPr="005A27FB">
        <w:rPr>
          <w:color w:val="000000"/>
          <w:lang w:val="ro-RO"/>
        </w:rPr>
        <w:t xml:space="preserve"> de la un grup de vârstă la altul sau de la o generație la alta. Au fost </w:t>
      </w:r>
      <w:r w:rsidR="000C7B52" w:rsidRPr="005A27FB">
        <w:rPr>
          <w:color w:val="000000"/>
          <w:lang w:val="ro-RO"/>
        </w:rPr>
        <w:t>ex</w:t>
      </w:r>
      <w:r w:rsidR="00540C00" w:rsidRPr="005A27FB">
        <w:rPr>
          <w:color w:val="000000"/>
          <w:lang w:val="ro-RO"/>
        </w:rPr>
        <w:t>plorate</w:t>
      </w:r>
      <w:r w:rsidR="000C7B52" w:rsidRPr="005A27FB">
        <w:rPr>
          <w:color w:val="000000"/>
          <w:lang w:val="ro-RO"/>
        </w:rPr>
        <w:t xml:space="preserve"> diferențel</w:t>
      </w:r>
      <w:r w:rsidR="00540C00" w:rsidRPr="005A27FB">
        <w:rPr>
          <w:color w:val="000000"/>
          <w:lang w:val="ro-RO"/>
        </w:rPr>
        <w:t>e</w:t>
      </w:r>
      <w:r w:rsidR="000C7B52" w:rsidRPr="005A27FB">
        <w:rPr>
          <w:color w:val="000000"/>
          <w:lang w:val="ro-RO"/>
        </w:rPr>
        <w:t xml:space="preserve"> de gen în veniturile și consumul de-a lungul ciclului de viață. </w:t>
      </w:r>
    </w:p>
    <w:p w14:paraId="4821EF9D" w14:textId="77777777" w:rsidR="002A4903" w:rsidRPr="00E46C44" w:rsidRDefault="005A27FB" w:rsidP="002A49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4903">
        <w:rPr>
          <w:rStyle w:val="q4iawc"/>
          <w:rFonts w:ascii="Times New Roman" w:hAnsi="Times New Roman"/>
          <w:sz w:val="24"/>
          <w:szCs w:val="24"/>
          <w:lang w:val="ro-RO"/>
        </w:rPr>
        <w:t xml:space="preserve">Pentru evaluarea stabilității financiare a BASS din Republica Moldova </w:t>
      </w:r>
      <w:r w:rsidR="00E46C44" w:rsidRPr="002A4903">
        <w:rPr>
          <w:rStyle w:val="q4iawc"/>
          <w:rFonts w:ascii="Times New Roman" w:hAnsi="Times New Roman"/>
          <w:sz w:val="24"/>
          <w:szCs w:val="24"/>
          <w:lang w:val="ro-RO"/>
        </w:rPr>
        <w:t>în baza unui m</w:t>
      </w:r>
      <w:r w:rsidR="00E46C44" w:rsidRPr="002A4903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odel </w:t>
      </w:r>
      <w:r w:rsidRPr="002A4903">
        <w:rPr>
          <w:rStyle w:val="q4iawc"/>
          <w:rFonts w:ascii="Times New Roman" w:hAnsi="Times New Roman"/>
          <w:sz w:val="24"/>
          <w:szCs w:val="24"/>
          <w:lang w:val="ro-RO"/>
        </w:rPr>
        <w:t>a fost elaborat și propus mecanismul</w:t>
      </w:r>
      <w:r w:rsidR="00E46C44" w:rsidRPr="002A4903">
        <w:rPr>
          <w:rStyle w:val="rynqvb"/>
          <w:rFonts w:ascii="Times New Roman" w:hAnsi="Times New Roman"/>
          <w:sz w:val="24"/>
          <w:szCs w:val="24"/>
          <w:lang w:val="ro-RO"/>
        </w:rPr>
        <w:t xml:space="preserve"> de prognozare</w:t>
      </w:r>
      <w:r w:rsidRPr="002A4903">
        <w:rPr>
          <w:rStyle w:val="q4iawc"/>
          <w:rFonts w:ascii="Times New Roman" w:hAnsi="Times New Roman"/>
          <w:sz w:val="24"/>
          <w:szCs w:val="24"/>
          <w:lang w:val="ro-RO"/>
        </w:rPr>
        <w:t xml:space="preserve"> </w:t>
      </w:r>
      <w:r w:rsidRPr="002A4903">
        <w:rPr>
          <w:rStyle w:val="rynqvb"/>
          <w:rFonts w:ascii="Times New Roman" w:hAnsi="Times New Roman"/>
          <w:sz w:val="24"/>
          <w:szCs w:val="24"/>
          <w:lang w:val="ro-RO"/>
        </w:rPr>
        <w:t xml:space="preserve">a cheltuielilor pentru achitarea pensiilor pentru perioada medie (pentru anii 2022-2025). </w:t>
      </w:r>
      <w:r w:rsidR="00E46C44" w:rsidRPr="002A4903">
        <w:rPr>
          <w:rStyle w:val="rynqvb"/>
          <w:rFonts w:ascii="Times New Roman" w:hAnsi="Times New Roman"/>
          <w:sz w:val="24"/>
          <w:szCs w:val="24"/>
          <w:lang w:val="ro-RO"/>
        </w:rPr>
        <w:t>Au fost calculate</w:t>
      </w:r>
      <w:r w:rsidRPr="002A4903">
        <w:rPr>
          <w:rStyle w:val="rynqvb"/>
          <w:rFonts w:ascii="Times New Roman" w:hAnsi="Times New Roman"/>
          <w:sz w:val="24"/>
          <w:szCs w:val="24"/>
          <w:lang w:val="ro-RO"/>
        </w:rPr>
        <w:t xml:space="preserve"> numărul de pensionari după vârstă  și a cuantumul mediu anual al pensiei după </w:t>
      </w:r>
      <w:r w:rsidR="00702C4B" w:rsidRPr="002A4903">
        <w:rPr>
          <w:rStyle w:val="rynqvb"/>
          <w:rFonts w:ascii="Times New Roman" w:hAnsi="Times New Roman"/>
          <w:sz w:val="24"/>
          <w:szCs w:val="24"/>
          <w:lang w:val="ro-RO"/>
        </w:rPr>
        <w:t>vârstă</w:t>
      </w:r>
      <w:r w:rsidRPr="002A4903">
        <w:rPr>
          <w:rStyle w:val="rynqvb"/>
          <w:rFonts w:ascii="Times New Roman" w:hAnsi="Times New Roman"/>
          <w:sz w:val="24"/>
          <w:szCs w:val="24"/>
          <w:lang w:val="ro-RO"/>
        </w:rPr>
        <w:t xml:space="preserve">, în baza cărora a fost elaborată prognoza cheltuielilor  pentru achitarea pensiilor, ținând cont de indexarea prestațiilor de asigurării sociale. </w:t>
      </w:r>
      <w:r w:rsidR="002A4903" w:rsidRPr="002A4903">
        <w:rPr>
          <w:rStyle w:val="rynqvb"/>
          <w:rFonts w:ascii="Times New Roman" w:hAnsi="Times New Roman"/>
          <w:iCs/>
          <w:sz w:val="24"/>
          <w:szCs w:val="24"/>
          <w:lang w:val="ro-RO"/>
        </w:rPr>
        <w:t xml:space="preserve">Au fost efectuate calculele pierderilor veniturilor Bugetului asigurărilor sociale de stat (BASS) determinate de reducerea numărului de salariați și a celor ocupate în sectorul informal.  </w:t>
      </w:r>
      <w:r w:rsidR="002A4903" w:rsidRPr="002A4903">
        <w:rPr>
          <w:rFonts w:ascii="Times New Roman" w:hAnsi="Times New Roman"/>
          <w:sz w:val="24"/>
          <w:szCs w:val="24"/>
          <w:lang w:val="ro-RO"/>
        </w:rPr>
        <w:t xml:space="preserve">A fost </w:t>
      </w:r>
      <w:r w:rsidR="002A4903" w:rsidRPr="002A4903">
        <w:rPr>
          <w:rFonts w:ascii="Times New Roman" w:hAnsi="Times New Roman"/>
          <w:bCs/>
          <w:sz w:val="24"/>
          <w:szCs w:val="24"/>
          <w:lang w:val="ro-RO"/>
        </w:rPr>
        <w:t>elaborată metodologia pentru evaluarea și determinare a dimensiunii pierderilor economice</w:t>
      </w:r>
      <w:r w:rsidR="002A4903" w:rsidRPr="00E46C44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2A4903" w:rsidRPr="00E46C44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ca urmare a dizabilității populației adulte, pentru diferite vârste și grupuri sociale. </w:t>
      </w:r>
    </w:p>
    <w:p w14:paraId="78AFE269" w14:textId="7C2AB527" w:rsidR="005A27FB" w:rsidRDefault="005A27FB" w:rsidP="002A49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702C4B">
        <w:rPr>
          <w:rFonts w:ascii="Times New Roman" w:hAnsi="Times New Roman"/>
          <w:sz w:val="24"/>
          <w:szCs w:val="24"/>
          <w:lang w:val="ro-RO"/>
        </w:rPr>
        <w:t xml:space="preserve">A fost </w:t>
      </w:r>
      <w:r w:rsidR="002A4903">
        <w:rPr>
          <w:rFonts w:ascii="Times New Roman" w:hAnsi="Times New Roman"/>
          <w:sz w:val="24"/>
          <w:szCs w:val="24"/>
          <w:lang w:val="ro-RO"/>
        </w:rPr>
        <w:t>evidențiați</w:t>
      </w:r>
      <w:r w:rsidRPr="00702C4B">
        <w:rPr>
          <w:rFonts w:ascii="Times New Roman" w:hAnsi="Times New Roman"/>
          <w:sz w:val="24"/>
          <w:szCs w:val="24"/>
          <w:lang w:val="ro-RO"/>
        </w:rPr>
        <w:t xml:space="preserve"> factori</w:t>
      </w:r>
      <w:r w:rsidR="00E46C44">
        <w:rPr>
          <w:rFonts w:ascii="Times New Roman" w:hAnsi="Times New Roman"/>
          <w:sz w:val="24"/>
          <w:szCs w:val="24"/>
          <w:lang w:val="ro-RO"/>
        </w:rPr>
        <w:t>i</w:t>
      </w:r>
      <w:r w:rsidRPr="00702C4B">
        <w:rPr>
          <w:rFonts w:ascii="Times New Roman" w:hAnsi="Times New Roman"/>
          <w:sz w:val="24"/>
          <w:szCs w:val="24"/>
          <w:lang w:val="ro-RO"/>
        </w:rPr>
        <w:t xml:space="preserve"> emigrației la etapa actuală, evidențiate unele schimbări în modelele de migrație internațională</w:t>
      </w:r>
      <w:r w:rsidRPr="005D0E75">
        <w:rPr>
          <w:rFonts w:ascii="Times New Roman" w:hAnsi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sz w:val="24"/>
          <w:szCs w:val="24"/>
          <w:lang w:val="ro-RO"/>
        </w:rPr>
        <w:t>S-a constatat</w:t>
      </w:r>
      <w:r w:rsidRPr="005D0E75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702C4B">
        <w:rPr>
          <w:rFonts w:ascii="Times New Roman" w:hAnsi="Times New Roman"/>
          <w:sz w:val="24"/>
          <w:szCs w:val="24"/>
          <w:lang w:val="ro-MD"/>
        </w:rPr>
        <w:t>creșterea</w:t>
      </w:r>
      <w:r>
        <w:rPr>
          <w:rFonts w:ascii="Times New Roman" w:hAnsi="Times New Roman"/>
          <w:sz w:val="24"/>
          <w:szCs w:val="24"/>
          <w:lang w:val="ro-MD"/>
        </w:rPr>
        <w:t xml:space="preserve"> e</w:t>
      </w:r>
      <w:r w:rsidRPr="005D0E75">
        <w:rPr>
          <w:rFonts w:ascii="Times New Roman" w:hAnsi="Times New Roman"/>
          <w:sz w:val="24"/>
          <w:szCs w:val="24"/>
          <w:lang w:val="ro-MD"/>
        </w:rPr>
        <w:t>migrație</w:t>
      </w:r>
      <w:r w:rsidR="00702C4B">
        <w:rPr>
          <w:rFonts w:ascii="Times New Roman" w:hAnsi="Times New Roman"/>
          <w:sz w:val="24"/>
          <w:szCs w:val="24"/>
          <w:lang w:val="ro-MD"/>
        </w:rPr>
        <w:t xml:space="preserve">i </w:t>
      </w:r>
      <w:r w:rsidRPr="005D0E75">
        <w:rPr>
          <w:rFonts w:ascii="Times New Roman" w:hAnsi="Times New Roman"/>
          <w:sz w:val="24"/>
          <w:szCs w:val="24"/>
          <w:lang w:val="ro-MD"/>
        </w:rPr>
        <w:t>din mediul urban</w:t>
      </w:r>
      <w:r w:rsidR="00702C4B">
        <w:rPr>
          <w:rFonts w:ascii="Times New Roman" w:hAnsi="Times New Roman"/>
          <w:sz w:val="24"/>
          <w:szCs w:val="24"/>
          <w:lang w:val="ro-MD"/>
        </w:rPr>
        <w:t>,</w:t>
      </w:r>
      <w:r w:rsidRPr="005D0E75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702C4B">
        <w:rPr>
          <w:rFonts w:ascii="Times New Roman" w:hAnsi="Times New Roman"/>
          <w:sz w:val="24"/>
          <w:szCs w:val="24"/>
          <w:lang w:val="ro-MD"/>
        </w:rPr>
        <w:t>printre raioanele cu cel mai înalt nivel</w:t>
      </w:r>
      <w:r w:rsidRPr="005D0E75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E46C44">
        <w:rPr>
          <w:rFonts w:ascii="Times New Roman" w:hAnsi="Times New Roman"/>
          <w:sz w:val="24"/>
          <w:szCs w:val="24"/>
          <w:lang w:val="ro-MD"/>
        </w:rPr>
        <w:t xml:space="preserve">se evidențiază </w:t>
      </w:r>
      <w:r w:rsidRPr="005D0E75">
        <w:rPr>
          <w:rFonts w:ascii="Times New Roman" w:hAnsi="Times New Roman"/>
          <w:sz w:val="24"/>
          <w:szCs w:val="24"/>
          <w:lang w:val="ro-MD"/>
        </w:rPr>
        <w:t xml:space="preserve">Ialoveni, Cantemir, Cahul și apoi în mun. Chișinău. </w:t>
      </w:r>
      <w:r w:rsidR="00702C4B">
        <w:rPr>
          <w:rFonts w:ascii="Times New Roman" w:hAnsi="Times New Roman"/>
          <w:sz w:val="24"/>
          <w:szCs w:val="24"/>
          <w:lang w:val="ro-MD"/>
        </w:rPr>
        <w:t>P</w:t>
      </w:r>
      <w:proofErr w:type="spellStart"/>
      <w:r w:rsidRPr="005D0E75">
        <w:rPr>
          <w:rFonts w:ascii="Times New Roman" w:hAnsi="Times New Roman"/>
          <w:bCs/>
          <w:sz w:val="24"/>
          <w:szCs w:val="24"/>
          <w:lang w:val="ro-RO"/>
        </w:rPr>
        <w:t>opulația</w:t>
      </w:r>
      <w:proofErr w:type="spellEnd"/>
      <w:r w:rsidRPr="005D0E75">
        <w:rPr>
          <w:rFonts w:ascii="Times New Roman" w:hAnsi="Times New Roman"/>
          <w:bCs/>
          <w:sz w:val="24"/>
          <w:szCs w:val="24"/>
          <w:lang w:val="ro-RO"/>
        </w:rPr>
        <w:t xml:space="preserve"> orașelor mici și centrelor raionale este activ implicată în migrația urban-urbană, unde principalele destinații sunt municipiile Chișinău și Bălți. Selectivitatea migrației interne se răsfrânge asupra schimbărilor în structura populației la nivel de raioane și localități</w:t>
      </w:r>
      <w:r w:rsidR="00702C4B">
        <w:rPr>
          <w:rFonts w:ascii="Times New Roman" w:hAnsi="Times New Roman"/>
          <w:bCs/>
          <w:sz w:val="24"/>
          <w:szCs w:val="24"/>
          <w:lang w:val="ro-RO"/>
        </w:rPr>
        <w:t>, urgentează declinul populației în mediul rural și orașele mici.</w:t>
      </w:r>
    </w:p>
    <w:p w14:paraId="73BAF6C3" w14:textId="2560E96D" w:rsidR="005A27FB" w:rsidRPr="0076670D" w:rsidRDefault="00702C4B" w:rsidP="002A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76670D">
        <w:rPr>
          <w:rFonts w:ascii="Times New Roman" w:hAnsi="Times New Roman"/>
          <w:sz w:val="24"/>
          <w:szCs w:val="24"/>
          <w:lang w:val="ro-RO"/>
        </w:rPr>
        <w:t>Cercetările privind schimbările în speranța de viață în Republica Moldova în perioada pandemiei Covid-19 au demonstrat că d</w:t>
      </w:r>
      <w:r w:rsidRPr="0076670D">
        <w:rPr>
          <w:rFonts w:ascii="Times New Roman" w:eastAsia="Times New Roman" w:hAnsi="Times New Roman"/>
          <w:sz w:val="24"/>
          <w:szCs w:val="24"/>
          <w:lang w:val="ro-RO"/>
        </w:rPr>
        <w:t>in totalul deceselor înregistrate circa 50% pot fi considerate premature, iar 25% din pierderile premature cauzate de COVID-19 sunt concentrate în rândul populației cu vârstă cuprinsă între 57 și 61 ani, fiind o reflecție a mortalității generale caracterizată printr-un nivel ridicat al mortalității premature.</w:t>
      </w:r>
    </w:p>
    <w:p w14:paraId="71CA9BD8" w14:textId="77777777" w:rsidR="00E46C44" w:rsidRDefault="00540C00" w:rsidP="002A4903">
      <w:pPr>
        <w:pStyle w:val="NormalWeb"/>
        <w:ind w:firstLine="708"/>
        <w:rPr>
          <w:lang w:val="ro-MD"/>
        </w:rPr>
      </w:pPr>
      <w:r w:rsidRPr="0076670D">
        <w:rPr>
          <w:lang w:val="ro-RO"/>
        </w:rPr>
        <w:t>În baza analizei secundate a datelor</w:t>
      </w:r>
      <w:r w:rsidRPr="0076670D">
        <w:rPr>
          <w:bCs/>
          <w:i/>
          <w:iCs/>
          <w:lang w:val="ro-RO"/>
        </w:rPr>
        <w:t xml:space="preserve"> </w:t>
      </w:r>
      <w:r w:rsidRPr="0076670D">
        <w:rPr>
          <w:lang w:val="ro-RO"/>
        </w:rPr>
        <w:t xml:space="preserve">studiului Generații și Gen (2020) </w:t>
      </w:r>
      <w:r w:rsidR="005A27FB" w:rsidRPr="0076670D">
        <w:rPr>
          <w:lang w:val="ro-RO"/>
        </w:rPr>
        <w:t>a</w:t>
      </w:r>
      <w:r w:rsidR="000C7B52" w:rsidRPr="0076670D">
        <w:rPr>
          <w:lang w:val="ro-RO"/>
        </w:rPr>
        <w:t xml:space="preserve"> fost elaborată tipologia comportamentului reproductiv al femeilor din Republica Moldova la etapa de tranziție de la modelul tradițional</w:t>
      </w:r>
      <w:r w:rsidR="000C7B52" w:rsidRPr="005D0E75">
        <w:rPr>
          <w:lang w:val="ro-MD"/>
        </w:rPr>
        <w:t xml:space="preserve"> la cel modern. Studiul cuantifică eterogenitatea comportamentului reproductiv și are implicații importante în percepția științifică a tendințelor actuale și a dinamicii prospective a fertilității în </w:t>
      </w:r>
      <w:r w:rsidR="005A27FB">
        <w:rPr>
          <w:lang w:val="ro-MD"/>
        </w:rPr>
        <w:t xml:space="preserve">Republica </w:t>
      </w:r>
      <w:r w:rsidR="000C7B52" w:rsidRPr="005D0E75">
        <w:rPr>
          <w:lang w:val="ro-MD"/>
        </w:rPr>
        <w:t>Moldova</w:t>
      </w:r>
      <w:r w:rsidR="005A27FB">
        <w:rPr>
          <w:lang w:val="ro-MD"/>
        </w:rPr>
        <w:t>, servind pentru elaborarea politicilor familiale orientate spre grupuri sociale cu fertilitatea scăzută</w:t>
      </w:r>
      <w:r w:rsidR="000C7B52" w:rsidRPr="005D0E75">
        <w:rPr>
          <w:lang w:val="ro-MD"/>
        </w:rPr>
        <w:t>.</w:t>
      </w:r>
      <w:r w:rsidR="005A27FB">
        <w:rPr>
          <w:lang w:val="ro-MD"/>
        </w:rPr>
        <w:t xml:space="preserve"> </w:t>
      </w:r>
    </w:p>
    <w:p w14:paraId="6A5B1D43" w14:textId="77D0F298" w:rsidR="002A4903" w:rsidRPr="0076670D" w:rsidRDefault="002A4903" w:rsidP="002A490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MD"/>
        </w:rPr>
        <w:t>În urma realizării s</w:t>
      </w:r>
      <w:r w:rsidRPr="005D0E75">
        <w:rPr>
          <w:rFonts w:ascii="Times New Roman" w:hAnsi="Times New Roman"/>
          <w:sz w:val="24"/>
          <w:szCs w:val="24"/>
          <w:lang w:val="ro-MD"/>
        </w:rPr>
        <w:t>tudiul</w:t>
      </w:r>
      <w:r>
        <w:rPr>
          <w:rFonts w:ascii="Times New Roman" w:hAnsi="Times New Roman"/>
          <w:sz w:val="24"/>
          <w:szCs w:val="24"/>
          <w:lang w:val="ro-MD"/>
        </w:rPr>
        <w:t>ui</w:t>
      </w:r>
      <w:r w:rsidRPr="005D0E75">
        <w:rPr>
          <w:rFonts w:ascii="Times New Roman" w:hAnsi="Times New Roman"/>
          <w:sz w:val="24"/>
          <w:szCs w:val="24"/>
          <w:lang w:val="ro-MD"/>
        </w:rPr>
        <w:t xml:space="preserve"> sociologic calitativ ”Atitudini și practici în implementarea concediului paternal” </w:t>
      </w:r>
      <w:r>
        <w:rPr>
          <w:rFonts w:ascii="Times New Roman" w:hAnsi="Times New Roman"/>
          <w:sz w:val="24"/>
          <w:szCs w:val="24"/>
          <w:lang w:val="ro-RO"/>
        </w:rPr>
        <w:t>au fost determinat</w:t>
      </w:r>
      <w:r w:rsidR="00EB0747">
        <w:rPr>
          <w:rFonts w:ascii="Times New Roman" w:hAnsi="Times New Roman"/>
          <w:sz w:val="24"/>
          <w:szCs w:val="24"/>
          <w:lang w:val="ro-RO"/>
        </w:rPr>
        <w:t>e</w:t>
      </w:r>
      <w:r>
        <w:rPr>
          <w:rFonts w:ascii="Times New Roman" w:hAnsi="Times New Roman"/>
          <w:sz w:val="24"/>
          <w:szCs w:val="24"/>
          <w:lang w:val="ro-RO"/>
        </w:rPr>
        <w:t xml:space="preserve"> c</w:t>
      </w:r>
      <w:r w:rsidRPr="005D0E75">
        <w:rPr>
          <w:rFonts w:ascii="Times New Roman" w:eastAsia="Times New Roman" w:hAnsi="Times New Roman"/>
          <w:sz w:val="24"/>
          <w:szCs w:val="24"/>
          <w:lang w:val="ro-RO"/>
        </w:rPr>
        <w:t>auzele neutilizării concediului paternal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cum ar fi</w:t>
      </w:r>
      <w:r w:rsidRPr="005D0E75">
        <w:rPr>
          <w:rFonts w:ascii="Times New Roman" w:hAnsi="Times New Roman"/>
          <w:sz w:val="24"/>
          <w:szCs w:val="24"/>
          <w:lang w:val="ro-RO"/>
        </w:rPr>
        <w:t xml:space="preserve"> n</w:t>
      </w:r>
      <w:r w:rsidRPr="005D0E75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ecunoașterea dreptului de a beneficia de concediu paternal; </w:t>
      </w:r>
      <w:r w:rsidRPr="005D0E75">
        <w:rPr>
          <w:rFonts w:ascii="Times New Roman" w:hAnsi="Times New Roman"/>
          <w:sz w:val="24"/>
          <w:szCs w:val="24"/>
          <w:lang w:val="ro-RO"/>
        </w:rPr>
        <w:t>d</w:t>
      </w:r>
      <w:r w:rsidRPr="005D0E75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ubla salarizarea – oficială și ”în plic”; </w:t>
      </w:r>
      <w:r w:rsidRPr="0076670D">
        <w:rPr>
          <w:rFonts w:ascii="Times New Roman" w:hAnsi="Times New Roman"/>
          <w:sz w:val="24"/>
          <w:szCs w:val="24"/>
          <w:lang w:val="ro-RO"/>
        </w:rPr>
        <w:t>a</w:t>
      </w:r>
      <w:r w:rsidRPr="0076670D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ngajarea neoficială; perioade specifice de activitate a întreprinderii/companiei; </w:t>
      </w:r>
      <w:r w:rsidRPr="0076670D">
        <w:rPr>
          <w:rFonts w:ascii="Times New Roman" w:hAnsi="Times New Roman"/>
          <w:sz w:val="24"/>
          <w:szCs w:val="24"/>
          <w:lang w:val="ro-RO"/>
        </w:rPr>
        <w:t>d</w:t>
      </w:r>
      <w:r w:rsidRPr="0076670D">
        <w:rPr>
          <w:rFonts w:ascii="Times New Roman" w:eastAsia="Times New Roman" w:hAnsi="Times New Roman"/>
          <w:bCs/>
          <w:sz w:val="24"/>
          <w:szCs w:val="24"/>
          <w:lang w:val="ro-RO"/>
        </w:rPr>
        <w:t>ependența de venituri complementare locului de muncă etc.</w:t>
      </w:r>
      <w:r w:rsidR="00EB0747">
        <w:rPr>
          <w:rFonts w:ascii="Times New Roman" w:eastAsia="Times New Roman" w:hAnsi="Times New Roman"/>
          <w:bCs/>
          <w:sz w:val="24"/>
          <w:szCs w:val="24"/>
          <w:lang w:val="ro-RO"/>
        </w:rPr>
        <w:t>, elaborate recomandări de politici în domeniu.</w:t>
      </w:r>
    </w:p>
    <w:p w14:paraId="6C450171" w14:textId="56FF5576" w:rsidR="002A4903" w:rsidRPr="0076670D" w:rsidRDefault="0076670D" w:rsidP="002A4903">
      <w:pPr>
        <w:spacing w:after="0"/>
        <w:ind w:firstLine="709"/>
        <w:jc w:val="both"/>
        <w:rPr>
          <w:rStyle w:val="rynqvb"/>
          <w:iCs/>
          <w:lang w:val="ro-RO"/>
        </w:rPr>
      </w:pPr>
      <w:r w:rsidRPr="0076670D">
        <w:rPr>
          <w:rStyle w:val="rynqvb"/>
          <w:rFonts w:ascii="Times New Roman" w:hAnsi="Times New Roman"/>
          <w:iCs/>
          <w:sz w:val="24"/>
          <w:szCs w:val="24"/>
          <w:lang w:val="ro-RO"/>
        </w:rPr>
        <w:t xml:space="preserve">A fost elaborată o metodologie nouă pentru calcularea Indicelui Integral Teritorial de Reziliență Demografică în loc de Indicele Integral Teritorial de Securitate Demografică în contextual ajustării la conceptul de ”reziliență demografică” aprobat de MMPS. A fost calculat </w:t>
      </w:r>
      <w:r w:rsidR="002A4903" w:rsidRPr="0076670D">
        <w:rPr>
          <w:rStyle w:val="rynqvb"/>
          <w:rFonts w:ascii="Times New Roman" w:hAnsi="Times New Roman"/>
          <w:iCs/>
          <w:sz w:val="24"/>
          <w:szCs w:val="24"/>
          <w:lang w:val="ro-RO"/>
        </w:rPr>
        <w:t xml:space="preserve">Indicele Îmbătrânirii Active </w:t>
      </w:r>
      <w:r w:rsidRPr="0076670D">
        <w:rPr>
          <w:rStyle w:val="rynqvb"/>
          <w:rFonts w:ascii="Times New Roman" w:hAnsi="Times New Roman"/>
          <w:iCs/>
          <w:sz w:val="24"/>
          <w:szCs w:val="24"/>
          <w:lang w:val="ro-RO"/>
        </w:rPr>
        <w:t xml:space="preserve">pe medii de reședință. Rezultatele demonstrează </w:t>
      </w:r>
      <w:r>
        <w:rPr>
          <w:rStyle w:val="rynqvb"/>
          <w:rFonts w:ascii="Times New Roman" w:hAnsi="Times New Roman"/>
          <w:iCs/>
          <w:sz w:val="24"/>
          <w:szCs w:val="24"/>
          <w:lang w:val="ro-RO"/>
        </w:rPr>
        <w:t xml:space="preserve">că </w:t>
      </w:r>
      <w:r w:rsidR="002A4903" w:rsidRPr="0076670D">
        <w:rPr>
          <w:rStyle w:val="rynqvb"/>
          <w:rFonts w:ascii="Times New Roman" w:hAnsi="Times New Roman"/>
          <w:iCs/>
          <w:sz w:val="24"/>
          <w:szCs w:val="24"/>
          <w:lang w:val="ro-RO"/>
        </w:rPr>
        <w:t xml:space="preserve">în orașe </w:t>
      </w:r>
      <w:r>
        <w:rPr>
          <w:rStyle w:val="rynqvb"/>
          <w:rFonts w:ascii="Times New Roman" w:hAnsi="Times New Roman"/>
          <w:iCs/>
          <w:sz w:val="24"/>
          <w:szCs w:val="24"/>
          <w:lang w:val="ro-RO"/>
        </w:rPr>
        <w:t xml:space="preserve">acest indicator </w:t>
      </w:r>
      <w:r w:rsidR="002A4903" w:rsidRPr="0076670D">
        <w:rPr>
          <w:rStyle w:val="rynqvb"/>
          <w:rFonts w:ascii="Times New Roman" w:hAnsi="Times New Roman"/>
          <w:iCs/>
          <w:sz w:val="24"/>
          <w:szCs w:val="24"/>
          <w:lang w:val="ro-RO"/>
        </w:rPr>
        <w:t>constitui</w:t>
      </w:r>
      <w:r w:rsidRPr="0076670D">
        <w:rPr>
          <w:rStyle w:val="rynqvb"/>
          <w:rFonts w:ascii="Times New Roman" w:hAnsi="Times New Roman"/>
          <w:iCs/>
          <w:sz w:val="24"/>
          <w:szCs w:val="24"/>
          <w:lang w:val="ro-RO"/>
        </w:rPr>
        <w:t>e</w:t>
      </w:r>
      <w:r w:rsidR="002A4903" w:rsidRPr="0076670D">
        <w:rPr>
          <w:rStyle w:val="rynqvb"/>
          <w:rFonts w:ascii="Times New Roman" w:hAnsi="Times New Roman"/>
          <w:iCs/>
          <w:sz w:val="24"/>
          <w:szCs w:val="24"/>
          <w:lang w:val="ro-RO"/>
        </w:rPr>
        <w:t xml:space="preserve"> 25.8 puncte din 100 valoarea ma</w:t>
      </w:r>
      <w:r>
        <w:rPr>
          <w:rStyle w:val="rynqvb"/>
          <w:rFonts w:ascii="Times New Roman" w:hAnsi="Times New Roman"/>
          <w:iCs/>
          <w:sz w:val="24"/>
          <w:szCs w:val="24"/>
          <w:lang w:val="ro-RO"/>
        </w:rPr>
        <w:t>ximă, iar în sate – 22.2 puncte, ceea ce semnalează de oportunități reduse de îmbătrânire activă.</w:t>
      </w:r>
      <w:r w:rsidR="002A4903" w:rsidRPr="0076670D">
        <w:rPr>
          <w:rStyle w:val="rynqvb"/>
          <w:rFonts w:ascii="Times New Roman" w:hAnsi="Times New Roman"/>
          <w:iCs/>
          <w:sz w:val="24"/>
          <w:szCs w:val="24"/>
          <w:lang w:val="ro-RO"/>
        </w:rPr>
        <w:t xml:space="preserve"> </w:t>
      </w:r>
    </w:p>
    <w:p w14:paraId="72A222EA" w14:textId="1DE1D217" w:rsidR="000C7B52" w:rsidRPr="005D0E75" w:rsidRDefault="005A27FB" w:rsidP="000C7B5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540C00">
        <w:rPr>
          <w:rFonts w:ascii="Times New Roman" w:hAnsi="Times New Roman"/>
          <w:sz w:val="24"/>
          <w:szCs w:val="24"/>
          <w:lang w:val="ro-RO"/>
        </w:rPr>
        <w:t>În scopul creșterii gradului de accesibilitate și de percepție a indicatorilor demografici  a fost elaborată Harta de date Profilul Demografic al Republicii Moldova 2022</w:t>
      </w:r>
      <w:r w:rsidRPr="005D0E75">
        <w:rPr>
          <w:rFonts w:ascii="Times New Roman" w:hAnsi="Times New Roman"/>
          <w:sz w:val="24"/>
          <w:szCs w:val="24"/>
          <w:lang w:val="ro-RO"/>
        </w:rPr>
        <w:t xml:space="preserve"> în format tipărit și electronic (</w:t>
      </w:r>
      <w:hyperlink r:id="rId4" w:history="1">
        <w:r w:rsidRPr="005D0E75">
          <w:rPr>
            <w:rStyle w:val="Hyperlink"/>
            <w:rFonts w:ascii="Times New Roman" w:hAnsi="Times New Roman"/>
            <w:sz w:val="24"/>
            <w:szCs w:val="24"/>
            <w:lang w:val="ro-RO"/>
          </w:rPr>
          <w:t>https://ccd.ince.md/HartaDemografica/index.html</w:t>
        </w:r>
      </w:hyperlink>
      <w:r w:rsidRPr="005D0E75">
        <w:rPr>
          <w:rFonts w:ascii="Times New Roman" w:hAnsi="Times New Roman"/>
          <w:sz w:val="24"/>
          <w:szCs w:val="24"/>
          <w:lang w:val="ro-RO"/>
        </w:rPr>
        <w:t xml:space="preserve">). </w:t>
      </w:r>
      <w:bookmarkStart w:id="0" w:name="_GoBack"/>
      <w:bookmarkEnd w:id="0"/>
    </w:p>
    <w:sectPr w:rsidR="000C7B52" w:rsidRPr="005D0E7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52"/>
    <w:rsid w:val="000C7B52"/>
    <w:rsid w:val="002A4903"/>
    <w:rsid w:val="002C0E98"/>
    <w:rsid w:val="00540C00"/>
    <w:rsid w:val="005A27FB"/>
    <w:rsid w:val="005D0E75"/>
    <w:rsid w:val="006C0B77"/>
    <w:rsid w:val="00702C4B"/>
    <w:rsid w:val="0076670D"/>
    <w:rsid w:val="008242FF"/>
    <w:rsid w:val="00870751"/>
    <w:rsid w:val="00922C48"/>
    <w:rsid w:val="00A565AA"/>
    <w:rsid w:val="00B915B7"/>
    <w:rsid w:val="00C27829"/>
    <w:rsid w:val="00E46C44"/>
    <w:rsid w:val="00EA59DF"/>
    <w:rsid w:val="00EB074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5552"/>
  <w15:chartTrackingRefBased/>
  <w15:docId w15:val="{018EAEE0-C3C6-49F0-A217-6F6B88B7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5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C7B52"/>
    <w:rPr>
      <w:b/>
      <w:bCs/>
    </w:rPr>
  </w:style>
  <w:style w:type="paragraph" w:styleId="NormalWeb">
    <w:name w:val="Normal (Web)"/>
    <w:basedOn w:val="Normal"/>
    <w:uiPriority w:val="99"/>
    <w:unhideWhenUsed/>
    <w:rsid w:val="000C7B5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nhideWhenUsed/>
    <w:rsid w:val="000C7B52"/>
    <w:rPr>
      <w:color w:val="0000FF"/>
      <w:u w:val="single"/>
    </w:rPr>
  </w:style>
  <w:style w:type="character" w:customStyle="1" w:styleId="rynqvb">
    <w:name w:val="rynqvb"/>
    <w:rsid w:val="000C7B52"/>
  </w:style>
  <w:style w:type="character" w:customStyle="1" w:styleId="q4iawc">
    <w:name w:val="q4iawc"/>
    <w:rsid w:val="000C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cd.ince.md/HartaDemografic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ministedu ministedu</dc:creator>
  <cp:keywords/>
  <dc:description/>
  <cp:lastModifiedBy>User</cp:lastModifiedBy>
  <cp:revision>4</cp:revision>
  <dcterms:created xsi:type="dcterms:W3CDTF">2022-11-18T08:19:00Z</dcterms:created>
  <dcterms:modified xsi:type="dcterms:W3CDTF">2022-11-18T08:37:00Z</dcterms:modified>
</cp:coreProperties>
</file>