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FA85" w14:textId="368339C6" w:rsidR="00EC4096" w:rsidRDefault="00EC4096" w:rsidP="00EC4096">
      <w:pPr>
        <w:widowControl w:val="0"/>
        <w:shd w:val="clear" w:color="auto" w:fill="FFFFFF"/>
        <w:autoSpaceDE w:val="0"/>
        <w:autoSpaceDN w:val="0"/>
        <w:adjustRightInd w:val="0"/>
        <w:spacing w:after="120" w:line="276" w:lineRule="auto"/>
        <w:jc w:val="center"/>
        <w:rPr>
          <w:rFonts w:ascii="Times New Roman" w:hAnsi="Times New Roman"/>
          <w:bCs/>
          <w:kern w:val="32"/>
          <w:sz w:val="24"/>
          <w:szCs w:val="24"/>
          <w:lang w:val="ro-MD"/>
        </w:rPr>
      </w:pPr>
      <w:r w:rsidRPr="00EC4096">
        <w:rPr>
          <w:rFonts w:ascii="Times New Roman" w:hAnsi="Times New Roman"/>
          <w:bCs/>
          <w:kern w:val="32"/>
          <w:sz w:val="24"/>
          <w:szCs w:val="24"/>
          <w:lang w:val="ro-MD"/>
        </w:rPr>
        <w:t>Rezumatul activității și a rezultatelor obținute în proiect</w:t>
      </w:r>
    </w:p>
    <w:p w14:paraId="511EDDDF" w14:textId="77777777" w:rsidR="00EC4096" w:rsidRPr="00EC4096" w:rsidRDefault="00EC4096" w:rsidP="00EC4096">
      <w:pPr>
        <w:tabs>
          <w:tab w:val="left" w:pos="2940"/>
        </w:tabs>
        <w:spacing w:after="0" w:line="360" w:lineRule="auto"/>
        <w:jc w:val="center"/>
        <w:rPr>
          <w:rFonts w:ascii="Times New Roman" w:hAnsi="Times New Roman"/>
          <w:sz w:val="24"/>
          <w:szCs w:val="24"/>
          <w:lang w:val="ro-MD"/>
        </w:rPr>
      </w:pPr>
      <w:r w:rsidRPr="00EC4096">
        <w:rPr>
          <w:rFonts w:ascii="Times New Roman" w:hAnsi="Times New Roman"/>
          <w:b/>
          <w:sz w:val="24"/>
          <w:szCs w:val="24"/>
          <w:lang w:val="ro-RO"/>
        </w:rPr>
        <w:t>„</w:t>
      </w:r>
      <w:r w:rsidRPr="00EC4096">
        <w:rPr>
          <w:rFonts w:ascii="Times New Roman" w:hAnsi="Times New Roman"/>
          <w:b/>
          <w:sz w:val="24"/>
          <w:szCs w:val="24"/>
          <w:lang w:val="ro-MD"/>
        </w:rPr>
        <w:t>Educație pentru revitalizarea patrimoniului cultural național prin tehnologiile tradiționale de prelucrare utilizate în Republica Moldova, în contextul multiculturalității, diversității și integrării europene”</w:t>
      </w:r>
      <w:r w:rsidRPr="00EC4096">
        <w:rPr>
          <w:rFonts w:ascii="Times New Roman" w:hAnsi="Times New Roman"/>
          <w:sz w:val="24"/>
          <w:szCs w:val="24"/>
          <w:lang w:val="ro-MD"/>
        </w:rPr>
        <w:t xml:space="preserve"> </w:t>
      </w:r>
    </w:p>
    <w:p w14:paraId="28328F6D" w14:textId="77777777" w:rsidR="00EC4096" w:rsidRPr="00EC4096" w:rsidRDefault="00EC4096" w:rsidP="00EC4096">
      <w:pPr>
        <w:tabs>
          <w:tab w:val="left" w:pos="2940"/>
        </w:tabs>
        <w:spacing w:after="0" w:line="360" w:lineRule="auto"/>
        <w:jc w:val="center"/>
        <w:rPr>
          <w:rFonts w:ascii="Times New Roman" w:hAnsi="Times New Roman"/>
          <w:b/>
          <w:sz w:val="24"/>
          <w:szCs w:val="24"/>
          <w:lang w:val="ro-MD"/>
        </w:rPr>
      </w:pPr>
      <w:r w:rsidRPr="00EC4096">
        <w:rPr>
          <w:rFonts w:ascii="Times New Roman" w:hAnsi="Times New Roman"/>
          <w:b/>
          <w:sz w:val="24"/>
          <w:szCs w:val="24"/>
          <w:lang w:val="ro-MD"/>
        </w:rPr>
        <w:t>20.80009.0807.17</w:t>
      </w:r>
    </w:p>
    <w:p w14:paraId="649B0E3D" w14:textId="77777777" w:rsidR="00EC4096" w:rsidRDefault="00EC4096" w:rsidP="00EC4096">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The activities within the project designed for 2022, determined the definition of </w:t>
      </w:r>
      <w:proofErr w:type="spellStart"/>
      <w:r>
        <w:rPr>
          <w:rFonts w:ascii="Times New Roman" w:hAnsi="Times New Roman"/>
          <w:color w:val="000000"/>
          <w:sz w:val="24"/>
          <w:szCs w:val="24"/>
        </w:rPr>
        <w:t>ethnogastronomic</w:t>
      </w:r>
      <w:proofErr w:type="spellEnd"/>
      <w:r>
        <w:rPr>
          <w:rFonts w:ascii="Times New Roman" w:hAnsi="Times New Roman"/>
          <w:color w:val="000000"/>
          <w:sz w:val="24"/>
          <w:szCs w:val="24"/>
        </w:rPr>
        <w:t xml:space="preserve"> technological identity, wine, textile and traditional costume specific to the southern area of the Republic of Moldova. There were collected from the places, from museums, materials referring to traditional recipes, structured in dishes: cold, basic, pastry, sweet, bread; wines made from old varieties specific to the South and hard craft drinks analyzed in correlation with the dishes. In the same sense, there were collected and analyzed the materials about the traditional costumes specific to the south, structured on ethnicities: the Romanian costume from the south of the Republic of Moldova, the Gagauz costume, the Bulgarian costume, all of them contributing to the formation of the image regarding the specific peculiarities of cut, shape, type of raw fabrics, chromatics, ornamental compositional structural constitutions, ornamental motifs, directions of ornamental arrangement, proportions.</w:t>
      </w:r>
    </w:p>
    <w:p w14:paraId="2B7E2F6D" w14:textId="091DEE1F" w:rsidR="00EC4096" w:rsidRDefault="00EC4096" w:rsidP="00EC4096">
      <w:pPr>
        <w:spacing w:after="0"/>
        <w:ind w:firstLine="708"/>
        <w:jc w:val="both"/>
        <w:rPr>
          <w:rFonts w:ascii="Times New Roman" w:hAnsi="Times New Roman"/>
          <w:color w:val="000000"/>
          <w:sz w:val="24"/>
          <w:szCs w:val="24"/>
        </w:rPr>
      </w:pPr>
      <w:r>
        <w:rPr>
          <w:rFonts w:ascii="Times New Roman" w:hAnsi="Times New Roman"/>
          <w:color w:val="000000"/>
          <w:sz w:val="24"/>
          <w:szCs w:val="24"/>
        </w:rPr>
        <w:t>The results of the studies carried out were disseminated in: 4</w:t>
      </w:r>
      <w:r w:rsidR="00C357B4">
        <w:rPr>
          <w:rFonts w:ascii="Times New Roman" w:hAnsi="Times New Roman"/>
          <w:color w:val="000000"/>
          <w:sz w:val="24"/>
          <w:szCs w:val="24"/>
        </w:rPr>
        <w:t>4</w:t>
      </w:r>
      <w:r>
        <w:rPr>
          <w:rFonts w:ascii="Times New Roman" w:hAnsi="Times New Roman"/>
          <w:color w:val="000000"/>
          <w:sz w:val="24"/>
          <w:szCs w:val="24"/>
        </w:rPr>
        <w:t xml:space="preserve"> scientific publications: 5 papers being published in internationally recognized scientific journals with impact factor: IF = 8,843, IF = 5,845, IF = 5,372, IF = 2,28, 2 scientific-methodical and didactic papers, 34-other publications, 36 communications with participation in international conferences-28, national conferences-1, obtaining two silver medals for participation in international salons, obtaining a certificate of registration of the model.</w:t>
      </w:r>
    </w:p>
    <w:p w14:paraId="22EE2657" w14:textId="77777777" w:rsidR="00EC4096" w:rsidRDefault="00EC4096" w:rsidP="00EC4096">
      <w:pPr>
        <w:spacing w:after="0"/>
        <w:ind w:firstLine="708"/>
        <w:jc w:val="both"/>
        <w:rPr>
          <w:rFonts w:ascii="Times New Roman" w:hAnsi="Times New Roman"/>
          <w:color w:val="000000"/>
          <w:sz w:val="24"/>
          <w:szCs w:val="24"/>
        </w:rPr>
      </w:pPr>
      <w:r>
        <w:rPr>
          <w:rFonts w:ascii="Times New Roman" w:hAnsi="Times New Roman"/>
          <w:color w:val="000000"/>
          <w:sz w:val="24"/>
          <w:szCs w:val="24"/>
        </w:rPr>
        <w:t>The applicability of the obtained results materialized in the organization and development of:  -49 workshops focused on promoting and knowing the traditional technologies of traditional costume making; - 27 thematic workshops on knowledge and promotion of traditional dishes from the south of the country; - 12 workshops on the preparation and tasting of artisanal wine products and strong drinks; - 5 workshops for obtaining tinctures from macerated plants in hard drinks; organizing and conducting the festival "The best wine from "</w:t>
      </w:r>
      <w:proofErr w:type="spellStart"/>
      <w:r>
        <w:rPr>
          <w:rFonts w:ascii="Times New Roman" w:hAnsi="Times New Roman"/>
          <w:color w:val="000000"/>
          <w:sz w:val="24"/>
          <w:szCs w:val="24"/>
        </w:rPr>
        <w:t>Valea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Culei</w:t>
      </w:r>
      <w:proofErr w:type="spellEnd"/>
      <w:r>
        <w:rPr>
          <w:rFonts w:ascii="Times New Roman" w:hAnsi="Times New Roman"/>
          <w:color w:val="000000"/>
          <w:sz w:val="24"/>
          <w:szCs w:val="24"/>
        </w:rPr>
        <w:t>". All the workshops were public, with the participation of all those interested in any age. Some of the workshops were held with the involvement of students: Technical University of Moldova, Faculty of Food Technology, Faculty of Design, Academy of Economic Studies, Department of Commerce, Tourism and Public Food, National College of Commerce of ASEM, Center of Excellence of Constructions.</w:t>
      </w:r>
    </w:p>
    <w:p w14:paraId="2541A4DC" w14:textId="77777777" w:rsidR="00EC4096" w:rsidRDefault="00EC4096" w:rsidP="00EC4096">
      <w:pPr>
        <w:spacing w:after="0"/>
        <w:ind w:firstLine="708"/>
        <w:jc w:val="both"/>
        <w:rPr>
          <w:rFonts w:ascii="Times New Roman" w:hAnsi="Times New Roman"/>
          <w:color w:val="000000"/>
          <w:sz w:val="24"/>
          <w:szCs w:val="24"/>
        </w:rPr>
      </w:pPr>
      <w:r>
        <w:rPr>
          <w:rFonts w:ascii="Times New Roman" w:hAnsi="Times New Roman"/>
          <w:color w:val="000000"/>
          <w:sz w:val="24"/>
          <w:szCs w:val="24"/>
        </w:rPr>
        <w:t>The activities carried out were promoted on the project page https://www.facebook.com/gusturi.traditionale and on 9 TV shows and 5 radio shows.</w:t>
      </w:r>
    </w:p>
    <w:p w14:paraId="625E49D0" w14:textId="77777777" w:rsidR="00EC4096" w:rsidRDefault="00EC4096" w:rsidP="00EC4096">
      <w:pPr>
        <w:spacing w:after="0"/>
        <w:ind w:firstLine="708"/>
        <w:jc w:val="both"/>
        <w:rPr>
          <w:rFonts w:ascii="Times New Roman" w:hAnsi="Times New Roman"/>
          <w:color w:val="000000"/>
          <w:sz w:val="24"/>
          <w:szCs w:val="24"/>
        </w:rPr>
      </w:pPr>
      <w:r>
        <w:rPr>
          <w:rFonts w:ascii="Times New Roman" w:hAnsi="Times New Roman"/>
          <w:color w:val="000000"/>
          <w:sz w:val="24"/>
          <w:szCs w:val="24"/>
        </w:rPr>
        <w:t>The team members participated with the products resulting from the implementation of traditional technologies of their own realization at 4 in group exhibitions, representing pieces of the traditional costume: shirts, head coverings.</w:t>
      </w:r>
    </w:p>
    <w:p w14:paraId="56428BC0" w14:textId="77777777" w:rsidR="00EC4096" w:rsidRDefault="00EC4096" w:rsidP="00EC4096">
      <w:pPr>
        <w:spacing w:after="0"/>
        <w:ind w:firstLine="708"/>
        <w:jc w:val="both"/>
        <w:rPr>
          <w:rFonts w:ascii="Times New Roman" w:hAnsi="Times New Roman"/>
          <w:color w:val="000000"/>
          <w:sz w:val="24"/>
          <w:szCs w:val="24"/>
        </w:rPr>
      </w:pPr>
      <w:r>
        <w:rPr>
          <w:rFonts w:ascii="Times New Roman" w:hAnsi="Times New Roman"/>
          <w:color w:val="000000"/>
          <w:sz w:val="24"/>
          <w:szCs w:val="24"/>
        </w:rPr>
        <w:t>Other forms of materialization of the results are presented by: technological sheets reflecting traditional technologies, prototypes, photo and video materials.</w:t>
      </w:r>
    </w:p>
    <w:p w14:paraId="51F820C3" w14:textId="77777777" w:rsidR="00EC4096" w:rsidRDefault="00EC4096" w:rsidP="00EC4096">
      <w:pPr>
        <w:spacing w:after="0"/>
        <w:ind w:firstLine="708"/>
        <w:jc w:val="both"/>
        <w:rPr>
          <w:rFonts w:ascii="Times New Roman" w:hAnsi="Times New Roman"/>
          <w:color w:val="000000"/>
          <w:sz w:val="24"/>
          <w:szCs w:val="24"/>
        </w:rPr>
      </w:pPr>
      <w:r>
        <w:rPr>
          <w:rFonts w:ascii="Times New Roman" w:hAnsi="Times New Roman"/>
          <w:color w:val="000000"/>
          <w:sz w:val="24"/>
          <w:szCs w:val="24"/>
        </w:rPr>
        <w:t>Partnerships with museums in the southern part of the country have been strengthened, contributing to the promotion of vestiges. </w:t>
      </w:r>
    </w:p>
    <w:p w14:paraId="370DB4C7" w14:textId="77777777" w:rsidR="00EC4096" w:rsidRDefault="00EC4096" w:rsidP="00EC4096">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There have been established 7 </w:t>
      </w:r>
      <w:proofErr w:type="spellStart"/>
      <w:r>
        <w:rPr>
          <w:rFonts w:ascii="Times New Roman" w:hAnsi="Times New Roman"/>
          <w:color w:val="000000"/>
          <w:sz w:val="24"/>
          <w:szCs w:val="24"/>
        </w:rPr>
        <w:t>ethnogastronomic</w:t>
      </w:r>
      <w:proofErr w:type="spellEnd"/>
      <w:r>
        <w:rPr>
          <w:rFonts w:ascii="Times New Roman" w:hAnsi="Times New Roman"/>
          <w:color w:val="000000"/>
          <w:sz w:val="24"/>
          <w:szCs w:val="24"/>
        </w:rPr>
        <w:t>, wine and museum itineraries recommended in the south of the country.</w:t>
      </w:r>
    </w:p>
    <w:p w14:paraId="634C21D1" w14:textId="7EDE9D42" w:rsidR="00EC4096" w:rsidRPr="00C357B4" w:rsidRDefault="00EC4096" w:rsidP="00EC4096">
      <w:pPr>
        <w:widowControl w:val="0"/>
        <w:shd w:val="clear" w:color="auto" w:fill="FFFFFF"/>
        <w:autoSpaceDE w:val="0"/>
        <w:autoSpaceDN w:val="0"/>
        <w:adjustRightInd w:val="0"/>
        <w:spacing w:after="120" w:line="276" w:lineRule="auto"/>
        <w:ind w:firstLine="708"/>
        <w:jc w:val="both"/>
        <w:rPr>
          <w:rFonts w:ascii="Times New Roman" w:hAnsi="Times New Roman"/>
          <w:color w:val="000000"/>
          <w:sz w:val="24"/>
          <w:szCs w:val="24"/>
        </w:rPr>
      </w:pPr>
      <w:r w:rsidRPr="00C357B4">
        <w:rPr>
          <w:rFonts w:ascii="Times New Roman" w:hAnsi="Times New Roman"/>
          <w:color w:val="000000"/>
          <w:sz w:val="24"/>
          <w:szCs w:val="24"/>
        </w:rPr>
        <w:t xml:space="preserve">All the predetermined activity objectives for 2022 according to the State Program </w:t>
      </w:r>
      <w:proofErr w:type="spellStart"/>
      <w:r w:rsidRPr="00C357B4">
        <w:rPr>
          <w:rFonts w:ascii="Times New Roman" w:hAnsi="Times New Roman"/>
          <w:color w:val="000000"/>
          <w:sz w:val="24"/>
          <w:szCs w:val="24"/>
        </w:rPr>
        <w:t>program</w:t>
      </w:r>
      <w:proofErr w:type="spellEnd"/>
      <w:r w:rsidRPr="00C357B4">
        <w:rPr>
          <w:rFonts w:ascii="Times New Roman" w:hAnsi="Times New Roman"/>
          <w:color w:val="000000"/>
          <w:sz w:val="24"/>
          <w:szCs w:val="24"/>
        </w:rPr>
        <w:t xml:space="preserve"> have been fully achieved.</w:t>
      </w:r>
    </w:p>
    <w:p w14:paraId="3D43F2B9" w14:textId="72C385E3" w:rsidR="00EC4096" w:rsidRDefault="00EC4096" w:rsidP="00EC4096">
      <w:pPr>
        <w:widowControl w:val="0"/>
        <w:shd w:val="clear" w:color="auto" w:fill="FFFFFF"/>
        <w:autoSpaceDE w:val="0"/>
        <w:autoSpaceDN w:val="0"/>
        <w:adjustRightInd w:val="0"/>
        <w:spacing w:after="120" w:line="276" w:lineRule="auto"/>
        <w:ind w:firstLine="708"/>
        <w:jc w:val="both"/>
        <w:rPr>
          <w:rFonts w:ascii="Times New Roman" w:hAnsi="Times New Roman"/>
          <w:color w:val="000000"/>
        </w:rPr>
      </w:pPr>
    </w:p>
    <w:p w14:paraId="51F437C5" w14:textId="77777777" w:rsidR="00EC4096" w:rsidRPr="00EC4096" w:rsidRDefault="00EC4096" w:rsidP="00EC4096">
      <w:pPr>
        <w:widowControl w:val="0"/>
        <w:shd w:val="clear" w:color="auto" w:fill="FFFFFF"/>
        <w:autoSpaceDE w:val="0"/>
        <w:autoSpaceDN w:val="0"/>
        <w:adjustRightInd w:val="0"/>
        <w:spacing w:after="120" w:line="276" w:lineRule="auto"/>
        <w:ind w:firstLine="708"/>
        <w:jc w:val="both"/>
        <w:rPr>
          <w:rFonts w:ascii="Times New Roman" w:hAnsi="Times New Roman"/>
          <w:bCs/>
          <w:kern w:val="32"/>
          <w:sz w:val="24"/>
          <w:szCs w:val="24"/>
          <w:lang w:val="ro-MD"/>
        </w:rPr>
      </w:pPr>
    </w:p>
    <w:p w14:paraId="4608A039" w14:textId="7205E26D" w:rsidR="00EC4096" w:rsidRDefault="00EC4096" w:rsidP="00EC4096">
      <w:pPr>
        <w:pStyle w:val="ListParagraph"/>
        <w:widowControl w:val="0"/>
        <w:shd w:val="clear" w:color="auto" w:fill="FFFFFF"/>
        <w:autoSpaceDE w:val="0"/>
        <w:autoSpaceDN w:val="0"/>
        <w:adjustRightInd w:val="0"/>
        <w:spacing w:after="120" w:line="276" w:lineRule="auto"/>
        <w:ind w:left="810"/>
        <w:jc w:val="both"/>
        <w:rPr>
          <w:rFonts w:ascii="Times New Roman" w:hAnsi="Times New Roman"/>
          <w:bCs/>
          <w:kern w:val="32"/>
          <w:sz w:val="24"/>
          <w:szCs w:val="24"/>
          <w:lang w:val="ro-MD"/>
        </w:rPr>
      </w:pPr>
    </w:p>
    <w:p w14:paraId="77A0A979" w14:textId="4E6F400A" w:rsidR="00EC4096" w:rsidRDefault="00EC4096" w:rsidP="00EC4096">
      <w:pPr>
        <w:shd w:val="clear" w:color="auto" w:fill="FFFFFF"/>
        <w:tabs>
          <w:tab w:val="left" w:pos="461"/>
        </w:tabs>
        <w:spacing w:after="0" w:line="276" w:lineRule="auto"/>
        <w:jc w:val="both"/>
        <w:rPr>
          <w:rFonts w:ascii="Times New Roman" w:hAnsi="Times New Roman"/>
          <w:color w:val="000000"/>
          <w:sz w:val="24"/>
          <w:szCs w:val="24"/>
          <w:lang w:val="ro-MD" w:eastAsia="ru-RU"/>
        </w:rPr>
      </w:pPr>
      <w:r>
        <w:rPr>
          <w:rFonts w:ascii="Times New Roman" w:hAnsi="Times New Roman"/>
          <w:iCs/>
          <w:kern w:val="32"/>
          <w:sz w:val="24"/>
          <w:szCs w:val="24"/>
          <w:lang w:val="ro-MD"/>
        </w:rPr>
        <w:tab/>
        <w:t>Activităţile din cadrul proiectului proiectate pentru anul 2022, au determinat definirea identitară tehnologică etnogastronomică, vinicolă, textilă şi vestimentară specifică zonei de sud a Republicii Moldova. Au fost colectate din teren, de la muzee, materiale cu referire la reţetele de bucate tradiţionale, structurate în</w:t>
      </w:r>
      <w:r>
        <w:rPr>
          <w:rFonts w:ascii="Times New Roman" w:hAnsi="Times New Roman"/>
          <w:color w:val="000000"/>
          <w:sz w:val="24"/>
          <w:szCs w:val="24"/>
          <w:lang w:val="ro-MD" w:eastAsia="ru-RU"/>
        </w:rPr>
        <w:t xml:space="preserve"> preparate: reci, de bază, de patiserie, dulci, pâine; vinuri realizate din soiuri vechi proprii sudului şi băuturile tari artizanale analizate în corelaţie cu bucatele. În acelaşi sens, au fost culese şi analizate materialele despre costumele tradiţionale specifice sudului, structurate pe etnii: costumul românesc din sudul Republicii Moldova, costumul găgăuz, costumul bulgar, toate contribuind la formarea imaginii privind particularităţile specifice de croială, formă, tipul materiei prime, cromatică, constituiri structurale compoziţionale ornamentale, motive ornamentale, direcţii de dispunere ornamentală, proporţii.</w:t>
      </w:r>
    </w:p>
    <w:p w14:paraId="69927194" w14:textId="77777777" w:rsidR="00EC4096" w:rsidRDefault="00EC4096" w:rsidP="00EC4096">
      <w:pPr>
        <w:keepNext/>
        <w:spacing w:after="0" w:line="276" w:lineRule="auto"/>
        <w:ind w:firstLine="708"/>
        <w:jc w:val="both"/>
        <w:outlineLvl w:val="0"/>
        <w:rPr>
          <w:rFonts w:ascii="Times New Roman" w:hAnsi="Times New Roman"/>
          <w:iCs/>
          <w:kern w:val="32"/>
          <w:sz w:val="24"/>
          <w:szCs w:val="24"/>
          <w:lang w:val="ro-MD"/>
        </w:rPr>
      </w:pPr>
      <w:r>
        <w:rPr>
          <w:rFonts w:ascii="Times New Roman" w:hAnsi="Times New Roman"/>
          <w:iCs/>
          <w:kern w:val="32"/>
          <w:sz w:val="24"/>
          <w:szCs w:val="24"/>
          <w:lang w:val="ro-MD"/>
        </w:rPr>
        <w:t xml:space="preserve">Rezultatele studiilor desfăşurate au fost diseminate în: 41 de publicaţii ştiinţifice: 5 lucrări fiind publicate în reviste ştiinţifice internaţionale recunoscute cu factor de impact:  </w:t>
      </w:r>
      <w:r>
        <w:rPr>
          <w:rFonts w:ascii="Times New Roman" w:hAnsi="Times New Roman"/>
          <w:color w:val="000000"/>
          <w:sz w:val="24"/>
          <w:szCs w:val="24"/>
          <w:lang w:val="ro-MD" w:eastAsia="ru-RU"/>
        </w:rPr>
        <w:t xml:space="preserve">IF=8,843, IF=5,845, IF= 5,372, IF =2,28, </w:t>
      </w:r>
      <w:r>
        <w:rPr>
          <w:rFonts w:ascii="Times New Roman" w:hAnsi="Times New Roman"/>
          <w:iCs/>
          <w:kern w:val="32"/>
          <w:sz w:val="24"/>
          <w:szCs w:val="24"/>
          <w:lang w:val="ro-MD"/>
        </w:rPr>
        <w:t>2 lucrări ştiinţifico-metodice şi didactice, 34-alte publicaţii, 35 de comunicări cu participare la conferinţe internaţionale-28, conferinţe naţionale-1, obţinerea a două medalii de argint pentru participare la saloanele internaţionale, obţinerea unui certificat de înregistrare a modelului.</w:t>
      </w:r>
    </w:p>
    <w:p w14:paraId="321C26E3" w14:textId="77777777" w:rsidR="00EC4096" w:rsidRDefault="00EC4096" w:rsidP="00EC4096">
      <w:pPr>
        <w:keepNext/>
        <w:spacing w:after="0" w:line="276" w:lineRule="auto"/>
        <w:ind w:firstLine="708"/>
        <w:jc w:val="both"/>
        <w:outlineLvl w:val="0"/>
        <w:rPr>
          <w:rFonts w:ascii="Times New Roman" w:hAnsi="Times New Roman"/>
          <w:sz w:val="24"/>
          <w:szCs w:val="24"/>
          <w:lang w:val="ro-RO"/>
        </w:rPr>
      </w:pPr>
      <w:r>
        <w:rPr>
          <w:rFonts w:ascii="Times New Roman" w:hAnsi="Times New Roman"/>
          <w:sz w:val="24"/>
          <w:szCs w:val="24"/>
          <w:lang w:val="ro-MD"/>
        </w:rPr>
        <w:t>Aplicabilitatea rezultatelor obşinute s-a materializat în organizarea şi desfăşurarea a 49 de ateliere axate pe promovare şi cunoaştere a tehnologiilor tradiţionale de confecţionare a costumului tradi</w:t>
      </w:r>
      <w:r>
        <w:rPr>
          <w:rFonts w:ascii="Times New Roman" w:hAnsi="Times New Roman"/>
          <w:color w:val="000000"/>
          <w:sz w:val="24"/>
          <w:szCs w:val="24"/>
          <w:lang w:val="ro-MD" w:eastAsia="ru-RU"/>
        </w:rPr>
        <w:t xml:space="preserve">ţional; - </w:t>
      </w:r>
      <w:r>
        <w:rPr>
          <w:rFonts w:ascii="Times New Roman" w:hAnsi="Times New Roman"/>
          <w:sz w:val="24"/>
          <w:szCs w:val="24"/>
          <w:lang w:val="ro-MD"/>
        </w:rPr>
        <w:t>27 de ateliere tematice de cunoaştere şi promovare a bucatelor tradiţionale din sudul ţării; - 12 ateliere privind pregătirea şi degustarea a produselor vinicole artizanale şi a băuturilor tari</w:t>
      </w:r>
      <w:r>
        <w:rPr>
          <w:rFonts w:ascii="Times New Roman" w:hAnsi="Times New Roman"/>
          <w:color w:val="000000"/>
          <w:sz w:val="24"/>
          <w:szCs w:val="24"/>
          <w:lang w:val="ro-MD" w:eastAsia="ru-RU"/>
        </w:rPr>
        <w:t xml:space="preserve">; - </w:t>
      </w:r>
      <w:r>
        <w:rPr>
          <w:rFonts w:ascii="Times New Roman" w:hAnsi="Times New Roman"/>
          <w:sz w:val="24"/>
          <w:szCs w:val="24"/>
          <w:lang w:val="ro-MD"/>
        </w:rPr>
        <w:t>5 ateliere de obţinere a tincturilor din plante macerate în băuturile tari; organizarea şi desfăşurarea festivalului „Cel mai bun vin din „Valea Culei”, participarea la expoziţii de grup cu cămăşi tradiţionale</w:t>
      </w:r>
      <w:r>
        <w:rPr>
          <w:rFonts w:ascii="Times New Roman" w:hAnsi="Times New Roman"/>
          <w:color w:val="000000"/>
          <w:sz w:val="24"/>
          <w:szCs w:val="24"/>
          <w:lang w:val="ro-MD" w:eastAsia="ru-RU"/>
        </w:rPr>
        <w:t xml:space="preserve">. Toate atelierele au fost publice, cu participarea tuturor celor interesaţi şi de orice vărstă. O parte dintre ateliere s-au desfăşurat cu implicarea studenţilor: </w:t>
      </w:r>
      <w:r>
        <w:rPr>
          <w:rFonts w:ascii="Times New Roman" w:hAnsi="Times New Roman"/>
          <w:sz w:val="24"/>
          <w:szCs w:val="24"/>
          <w:lang w:val="ro-RO"/>
        </w:rPr>
        <w:t>Universităţii Tehnice a Moldovei, Facultatea Tehnologia Alimentelor, Facultatea de Design, Academiei de Studii Economice, Departamentul Comerţ,Turism şi Alimentaţie Publică, Colegiului Naţional de Comerţ al ASEM, Centrului de Excelenţă de Construcţii.</w:t>
      </w:r>
    </w:p>
    <w:p w14:paraId="7D0CB06C" w14:textId="77777777" w:rsidR="00EC4096" w:rsidRDefault="00EC4096" w:rsidP="00EC4096">
      <w:pPr>
        <w:keepNext/>
        <w:spacing w:after="120" w:line="276" w:lineRule="auto"/>
        <w:ind w:firstLine="708"/>
        <w:jc w:val="both"/>
        <w:outlineLvl w:val="0"/>
        <w:rPr>
          <w:rFonts w:ascii="Times New Roman" w:hAnsi="Times New Roman"/>
          <w:sz w:val="24"/>
          <w:szCs w:val="24"/>
          <w:lang w:val="ro-RO"/>
        </w:rPr>
      </w:pPr>
      <w:r>
        <w:rPr>
          <w:rFonts w:ascii="Times New Roman" w:hAnsi="Times New Roman"/>
          <w:sz w:val="24"/>
          <w:szCs w:val="24"/>
          <w:lang w:val="ro-RO" w:eastAsia="ru-RU"/>
        </w:rPr>
        <w:t>Activităţile desfăşurate au fost promovate</w:t>
      </w:r>
      <w:r>
        <w:rPr>
          <w:rFonts w:ascii="Times New Roman" w:hAnsi="Times New Roman"/>
          <w:sz w:val="24"/>
          <w:szCs w:val="24"/>
          <w:lang w:val="ro-MD" w:eastAsia="ru-RU"/>
        </w:rPr>
        <w:t xml:space="preserve"> pe pagina proiectului </w:t>
      </w:r>
      <w:hyperlink r:id="rId5" w:history="1">
        <w:r>
          <w:rPr>
            <w:rStyle w:val="Hyperlink"/>
            <w:rFonts w:ascii="Times New Roman" w:hAnsi="Times New Roman"/>
            <w:sz w:val="24"/>
            <w:szCs w:val="24"/>
            <w:lang w:val="ro-RO"/>
          </w:rPr>
          <w:t>https://www.facebook.com/gusturi.traditionale</w:t>
        </w:r>
      </w:hyperlink>
      <w:r>
        <w:rPr>
          <w:rFonts w:ascii="Times New Roman" w:hAnsi="Times New Roman"/>
          <w:sz w:val="24"/>
          <w:szCs w:val="24"/>
          <w:lang w:val="ro-RO"/>
        </w:rPr>
        <w:t xml:space="preserve"> şi la 9 emisiuni televizate şi 5 emisiuni radio.</w:t>
      </w:r>
    </w:p>
    <w:p w14:paraId="6AD916E4" w14:textId="77777777" w:rsidR="00EC4096" w:rsidRDefault="00EC4096" w:rsidP="00EC4096">
      <w:pPr>
        <w:keepNext/>
        <w:spacing w:after="120" w:line="276" w:lineRule="auto"/>
        <w:ind w:firstLine="708"/>
        <w:jc w:val="both"/>
        <w:outlineLvl w:val="0"/>
        <w:rPr>
          <w:rFonts w:ascii="Times New Roman" w:hAnsi="Times New Roman"/>
          <w:sz w:val="24"/>
          <w:szCs w:val="24"/>
          <w:lang w:val="ro-RO"/>
        </w:rPr>
      </w:pPr>
      <w:r>
        <w:rPr>
          <w:rFonts w:ascii="Times New Roman" w:hAnsi="Times New Roman"/>
          <w:sz w:val="24"/>
          <w:szCs w:val="24"/>
          <w:lang w:val="ro-RO"/>
        </w:rPr>
        <w:t>Membrii echipei au participat cu produsele rezultate din implementarea tehnologiilor tradiţionale de realizare proprie la 4 expoziţii de grup, reprezentând piese ale costumului tradiţional: cămăşi, acoperăminte de cap.</w:t>
      </w:r>
    </w:p>
    <w:p w14:paraId="25502C2E" w14:textId="77777777" w:rsidR="00EC4096" w:rsidRDefault="00EC4096" w:rsidP="00EC4096">
      <w:pPr>
        <w:keepNext/>
        <w:spacing w:after="120" w:line="276" w:lineRule="auto"/>
        <w:ind w:firstLine="708"/>
        <w:jc w:val="both"/>
        <w:outlineLvl w:val="0"/>
        <w:rPr>
          <w:rFonts w:ascii="Times New Roman" w:hAnsi="Times New Roman"/>
          <w:sz w:val="24"/>
          <w:szCs w:val="24"/>
          <w:lang w:val="ro-RO"/>
        </w:rPr>
      </w:pPr>
      <w:r>
        <w:rPr>
          <w:rFonts w:ascii="Times New Roman" w:hAnsi="Times New Roman"/>
          <w:sz w:val="24"/>
          <w:szCs w:val="24"/>
          <w:lang w:val="ro-RO"/>
        </w:rPr>
        <w:t>Alte forme de materializare a rezultatelor le prezintă: f</w:t>
      </w:r>
      <w:r>
        <w:rPr>
          <w:rFonts w:ascii="Times New Roman" w:hAnsi="Times New Roman"/>
          <w:color w:val="000000"/>
          <w:sz w:val="24"/>
          <w:szCs w:val="24"/>
          <w:lang w:val="ro-RO"/>
        </w:rPr>
        <w:t>işele tehnologice cu reflectarea tehnologiilor tradiţionale, prototipurile, materialele foto şi video.</w:t>
      </w:r>
    </w:p>
    <w:p w14:paraId="0FBBA439" w14:textId="77777777" w:rsidR="00EC4096" w:rsidRDefault="00EC4096" w:rsidP="00EC4096">
      <w:pPr>
        <w:spacing w:after="0" w:line="276" w:lineRule="auto"/>
        <w:ind w:firstLine="708"/>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S-au consolidat parteneriatele cu muzeele din zona de sud a ţării contribuind la promovarea vestigiilor. </w:t>
      </w:r>
    </w:p>
    <w:p w14:paraId="2C97EB6F" w14:textId="77777777" w:rsidR="00EC4096" w:rsidRDefault="00EC4096" w:rsidP="00EC4096">
      <w:pPr>
        <w:spacing w:after="0" w:line="276" w:lineRule="auto"/>
        <w:ind w:firstLine="708"/>
        <w:jc w:val="both"/>
        <w:rPr>
          <w:rFonts w:ascii="Times New Roman" w:hAnsi="Times New Roman"/>
          <w:sz w:val="24"/>
          <w:szCs w:val="24"/>
          <w:lang w:val="ro-RO"/>
        </w:rPr>
      </w:pPr>
      <w:r>
        <w:rPr>
          <w:rFonts w:ascii="Times New Roman" w:hAnsi="Times New Roman"/>
          <w:sz w:val="24"/>
          <w:szCs w:val="24"/>
          <w:lang w:val="ro-RO"/>
        </w:rPr>
        <w:t>S-au stabilit 7 itinerare etnogastronomice, vinicole şi muzeale recomandate în sudul ţării.</w:t>
      </w:r>
    </w:p>
    <w:p w14:paraId="66CC6EAD" w14:textId="5B2FDB29" w:rsidR="00EC4096" w:rsidRDefault="00EC4096" w:rsidP="00EC4096">
      <w:pPr>
        <w:pStyle w:val="ListParagraph"/>
        <w:widowControl w:val="0"/>
        <w:shd w:val="clear" w:color="auto" w:fill="FFFFFF"/>
        <w:autoSpaceDE w:val="0"/>
        <w:autoSpaceDN w:val="0"/>
        <w:adjustRightInd w:val="0"/>
        <w:spacing w:after="120" w:line="276" w:lineRule="auto"/>
        <w:ind w:left="0" w:firstLine="708"/>
        <w:jc w:val="both"/>
        <w:rPr>
          <w:rFonts w:ascii="Times New Roman" w:hAnsi="Times New Roman"/>
          <w:bCs/>
          <w:kern w:val="32"/>
          <w:sz w:val="24"/>
          <w:szCs w:val="24"/>
          <w:lang w:val="ro-MD"/>
        </w:rPr>
      </w:pPr>
      <w:r>
        <w:rPr>
          <w:rFonts w:ascii="Times New Roman" w:hAnsi="Times New Roman"/>
          <w:sz w:val="24"/>
          <w:szCs w:val="24"/>
          <w:lang w:val="ro-RO"/>
        </w:rPr>
        <w:t>Toate obiectivele de activitate prestabilite pentru anul 2022 conform programului Programului de Stat au fost realizate integral.</w:t>
      </w:r>
    </w:p>
    <w:p w14:paraId="6FB57978" w14:textId="2001DF91" w:rsidR="00EC4096" w:rsidRDefault="00EC4096" w:rsidP="00EC4096">
      <w:pPr>
        <w:pStyle w:val="ListParagraph"/>
        <w:widowControl w:val="0"/>
        <w:shd w:val="clear" w:color="auto" w:fill="FFFFFF"/>
        <w:autoSpaceDE w:val="0"/>
        <w:autoSpaceDN w:val="0"/>
        <w:adjustRightInd w:val="0"/>
        <w:spacing w:after="120" w:line="276" w:lineRule="auto"/>
        <w:ind w:left="810"/>
        <w:jc w:val="both"/>
        <w:rPr>
          <w:rFonts w:ascii="Times New Roman" w:hAnsi="Times New Roman"/>
          <w:bCs/>
          <w:kern w:val="32"/>
          <w:sz w:val="24"/>
          <w:szCs w:val="24"/>
          <w:lang w:val="ro-MD"/>
        </w:rPr>
      </w:pPr>
    </w:p>
    <w:sectPr w:rsidR="00EC409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69B1"/>
    <w:multiLevelType w:val="hybridMultilevel"/>
    <w:tmpl w:val="01A806A4"/>
    <w:lvl w:ilvl="0" w:tplc="244E50D6">
      <w:start w:val="1"/>
      <w:numFmt w:val="decimal"/>
      <w:lvlText w:val="%1."/>
      <w:lvlJc w:val="left"/>
      <w:pPr>
        <w:ind w:left="810" w:hanging="360"/>
      </w:pPr>
      <w:rPr>
        <w:b/>
        <w:i w:val="0"/>
        <w:strike w:val="0"/>
        <w:dstrike w:val="0"/>
        <w:color w:val="auto"/>
        <w:u w:val="none"/>
        <w:effect w:val="none"/>
        <w:lang w:val="ro-MD"/>
      </w:rPr>
    </w:lvl>
    <w:lvl w:ilvl="1" w:tplc="04180019">
      <w:start w:val="1"/>
      <w:numFmt w:val="lowerLetter"/>
      <w:lvlText w:val="%2."/>
      <w:lvlJc w:val="left"/>
      <w:pPr>
        <w:ind w:left="1530" w:hanging="360"/>
      </w:pPr>
    </w:lvl>
    <w:lvl w:ilvl="2" w:tplc="0418001B">
      <w:start w:val="1"/>
      <w:numFmt w:val="lowerRoman"/>
      <w:lvlText w:val="%3."/>
      <w:lvlJc w:val="right"/>
      <w:pPr>
        <w:ind w:left="2250" w:hanging="180"/>
      </w:pPr>
    </w:lvl>
    <w:lvl w:ilvl="3" w:tplc="0418000F">
      <w:start w:val="1"/>
      <w:numFmt w:val="decimal"/>
      <w:lvlText w:val="%4."/>
      <w:lvlJc w:val="left"/>
      <w:pPr>
        <w:ind w:left="2970" w:hanging="360"/>
      </w:pPr>
    </w:lvl>
    <w:lvl w:ilvl="4" w:tplc="04180019">
      <w:start w:val="1"/>
      <w:numFmt w:val="lowerLetter"/>
      <w:lvlText w:val="%5."/>
      <w:lvlJc w:val="left"/>
      <w:pPr>
        <w:ind w:left="3690" w:hanging="360"/>
      </w:pPr>
    </w:lvl>
    <w:lvl w:ilvl="5" w:tplc="0418001B">
      <w:start w:val="1"/>
      <w:numFmt w:val="lowerRoman"/>
      <w:lvlText w:val="%6."/>
      <w:lvlJc w:val="right"/>
      <w:pPr>
        <w:ind w:left="4410" w:hanging="180"/>
      </w:pPr>
    </w:lvl>
    <w:lvl w:ilvl="6" w:tplc="0418000F">
      <w:start w:val="1"/>
      <w:numFmt w:val="decimal"/>
      <w:lvlText w:val="%7."/>
      <w:lvlJc w:val="left"/>
      <w:pPr>
        <w:ind w:left="5130" w:hanging="360"/>
      </w:pPr>
    </w:lvl>
    <w:lvl w:ilvl="7" w:tplc="04180019">
      <w:start w:val="1"/>
      <w:numFmt w:val="lowerLetter"/>
      <w:lvlText w:val="%8."/>
      <w:lvlJc w:val="left"/>
      <w:pPr>
        <w:ind w:left="5850" w:hanging="360"/>
      </w:pPr>
    </w:lvl>
    <w:lvl w:ilvl="8" w:tplc="0418001B">
      <w:start w:val="1"/>
      <w:numFmt w:val="lowerRoman"/>
      <w:lvlText w:val="%9."/>
      <w:lvlJc w:val="right"/>
      <w:pPr>
        <w:ind w:left="6570" w:hanging="180"/>
      </w:pPr>
    </w:lvl>
  </w:abstractNum>
  <w:num w:numId="1" w16cid:durableId="705638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45"/>
    <w:rsid w:val="002E1545"/>
    <w:rsid w:val="006C0B77"/>
    <w:rsid w:val="008242FF"/>
    <w:rsid w:val="00870751"/>
    <w:rsid w:val="00922C48"/>
    <w:rsid w:val="00B915B7"/>
    <w:rsid w:val="00B9574B"/>
    <w:rsid w:val="00C357B4"/>
    <w:rsid w:val="00EA59DF"/>
    <w:rsid w:val="00EC4096"/>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0BD0"/>
  <w15:chartTrackingRefBased/>
  <w15:docId w15:val="{C010BDBE-9D4B-48B7-993D-5990926F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096"/>
    <w:pPr>
      <w:spacing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4096"/>
    <w:rPr>
      <w:color w:val="0000FF"/>
      <w:u w:val="single"/>
    </w:rPr>
  </w:style>
  <w:style w:type="character" w:customStyle="1" w:styleId="ListParagraphChar">
    <w:name w:val="List Paragraph Char"/>
    <w:aliases w:val="Loetelu (bulletid) Char,Referncias Char,1st level - Bullet List Paragraph Char,Lettre d'introduction Char,Paragrafo elenco Char,Medium Grid 1 - Accent 21 Char,Normal bullet 2 Char,Bullet list Char,Numbered List Char,Listenabsatz Char"/>
    <w:link w:val="ListParagraph"/>
    <w:uiPriority w:val="34"/>
    <w:qFormat/>
    <w:locked/>
    <w:rsid w:val="00EC4096"/>
    <w:rPr>
      <w:lang w:val="x-none"/>
    </w:rPr>
  </w:style>
  <w:style w:type="paragraph" w:styleId="ListParagraph">
    <w:name w:val="List Paragraph"/>
    <w:aliases w:val="Loetelu (bulletid),Referncias,1st level - Bullet List Paragraph,Lettre d'introduction,Paragrafo elenco,Medium Grid 1 - Accent 21,Normal bullet 2,Bullet list,Numbered List,Colorful List - Accent 11,Listenabsatz,Puces,List Paragraph 1,Stil3"/>
    <w:basedOn w:val="Normal"/>
    <w:link w:val="ListParagraphChar"/>
    <w:uiPriority w:val="34"/>
    <w:qFormat/>
    <w:rsid w:val="00EC4096"/>
    <w:pPr>
      <w:spacing w:line="252" w:lineRule="auto"/>
      <w:ind w:left="720"/>
      <w:contextualSpacing/>
    </w:pPr>
    <w:rPr>
      <w:rFonts w:asciiTheme="minorHAnsi" w:eastAsiaTheme="minorHAnsi" w:hAnsiTheme="minorHAnsi" w:cstheme="minorBid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7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usturi.traditiona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Cazac Viorica</dc:creator>
  <cp:keywords/>
  <dc:description/>
  <cp:lastModifiedBy>Cazac Viorica</cp:lastModifiedBy>
  <cp:revision>2</cp:revision>
  <dcterms:created xsi:type="dcterms:W3CDTF">2022-11-20T19:46:00Z</dcterms:created>
  <dcterms:modified xsi:type="dcterms:W3CDTF">2022-11-20T19:46:00Z</dcterms:modified>
</cp:coreProperties>
</file>