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1D8E" w14:textId="77777777" w:rsidR="007C5D19" w:rsidRPr="00104CCA" w:rsidRDefault="007C5D19" w:rsidP="007C5D19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4CCA">
        <w:rPr>
          <w:rFonts w:ascii="Times New Roman" w:hAnsi="Times New Roman"/>
          <w:b/>
          <w:sz w:val="24"/>
          <w:szCs w:val="24"/>
          <w:lang w:val="ro-RO"/>
        </w:rPr>
        <w:t>RAPORT ANUAL</w:t>
      </w:r>
    </w:p>
    <w:p w14:paraId="083BA8A1" w14:textId="77777777" w:rsidR="007C5D19" w:rsidRPr="00104CCA" w:rsidRDefault="007C5D19" w:rsidP="007C5D19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4CCA">
        <w:rPr>
          <w:rFonts w:ascii="Times New Roman" w:hAnsi="Times New Roman"/>
          <w:b/>
          <w:sz w:val="24"/>
          <w:szCs w:val="24"/>
          <w:lang w:val="ro-RO"/>
        </w:rPr>
        <w:t>privind implementarea proiectului din cadrul Programului de Stat (2020-2023)</w:t>
      </w:r>
    </w:p>
    <w:p w14:paraId="73C0EC5F" w14:textId="77777777" w:rsidR="007C5D19" w:rsidRPr="00104CCA" w:rsidRDefault="007C5D19" w:rsidP="007C5D19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4CCA">
        <w:rPr>
          <w:rFonts w:ascii="Times New Roman" w:hAnsi="Times New Roman"/>
          <w:b/>
          <w:sz w:val="24"/>
          <w:szCs w:val="24"/>
          <w:lang w:val="ro-RO"/>
        </w:rPr>
        <w:t xml:space="preserve">Cercetări complexe de elaborare a noilor produse farmaceutice antiinfecțioase autohtone pentru optimizarea farmacoterapiei afecțiunilor stomatologice, orofaringiene și auriculare </w:t>
      </w:r>
    </w:p>
    <w:p w14:paraId="4B38E814" w14:textId="77777777" w:rsidR="007C5D19" w:rsidRDefault="007C5D19" w:rsidP="007C5D19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4CCA">
        <w:rPr>
          <w:rFonts w:ascii="Times New Roman" w:hAnsi="Times New Roman"/>
          <w:b/>
          <w:sz w:val="24"/>
          <w:szCs w:val="24"/>
          <w:lang w:val="ro-RO"/>
        </w:rPr>
        <w:t>20.80009.8007.14</w:t>
      </w:r>
    </w:p>
    <w:p w14:paraId="612C32F0" w14:textId="77777777" w:rsidR="007C5D19" w:rsidRPr="00994B03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C53A6A">
        <w:rPr>
          <w:rFonts w:ascii="Times New Roman" w:eastAsia="Times New Roman" w:hAnsi="Times New Roman"/>
          <w:sz w:val="24"/>
          <w:szCs w:val="24"/>
          <w:lang w:val="ro-RO" w:eastAsia="ru-RU"/>
        </w:rPr>
        <w:t>S-</w:t>
      </w:r>
      <w:r w:rsidRPr="00994B03">
        <w:rPr>
          <w:rFonts w:ascii="Times New Roman" w:eastAsia="Times New Roman" w:hAnsi="Times New Roman"/>
          <w:sz w:val="24"/>
          <w:szCs w:val="24"/>
          <w:lang w:val="ro-RO" w:eastAsia="ru-RU"/>
        </w:rPr>
        <w:t>a efectuat sinteza următoarelor serii de clorofenilviniltriazolonă și efectuate studii fizico-chimice: analize spectrale, CSS și HPLC.</w:t>
      </w:r>
    </w:p>
    <w:p w14:paraId="77AAFBB3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C53A6A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A fost cultivat și colectat </w:t>
      </w: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produsul vegetal, obținute extracte uscate din rizomi și rădăcini, frunze, părți aeriene, flori din speciile Solidago, efectuate studiul chimic al saponozidelor, flavonoidelor, carotenoidelor. </w:t>
      </w:r>
    </w:p>
    <w:p w14:paraId="7586EC0C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A fost efectuat studiul chimic cantitativ comparativ al clorofilelor a și b în produsele vegetale de tip frunze și flori recoltate de la speciile g. Solidago.</w:t>
      </w:r>
    </w:p>
    <w:p w14:paraId="541A8976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Pentru picăturile auriculare combinate cu ciprofloxacină, econazol și ulei volatil de busuioc s-a evidențiat compoziția nr. 4, pentru care s-a elaborat tehnologia de preparare și au fost efectuate studii de disponibilitate farmaceutică in vitro.</w:t>
      </w:r>
    </w:p>
    <w:p w14:paraId="19184C83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A fost elaborată metoda spectrofotometrică în UV-Vis, pentru analiza principiilor active din forma farmaceutică combinată, care a fost validată în conformitate cu rigorile ICH.</w:t>
      </w:r>
    </w:p>
    <w:p w14:paraId="543BEC7E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S-a determinat activitatea antibacteriană</w:t>
      </w:r>
      <w:r w:rsidRPr="000F466D">
        <w:rPr>
          <w:rFonts w:ascii="Times New Roman" w:eastAsia="Times New Roman" w:hAnsi="Times New Roman"/>
          <w:lang w:eastAsia="ru-RU"/>
        </w:rPr>
        <w:t xml:space="preserve"> </w:t>
      </w: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a compusului obținut prin sinteză; a formulării optimale de picături auriculare și a extractelor obținute din produsele vegetale a celor două specii de Solidago.</w:t>
      </w:r>
    </w:p>
    <w:p w14:paraId="19EC92BD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A fost studiată ototoxicitatea extractelor vegetale și a produsului combinat.</w:t>
      </w:r>
    </w:p>
    <w:p w14:paraId="23C624E5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S-a efectuat studiul comparativ al activității antioxidante pentru extractele uscate din ambele specii de Solidago.</w:t>
      </w:r>
    </w:p>
    <w:p w14:paraId="03821C91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S-au elaborat 4 forme farmaceutice stomatologice noi pe baza uleiului volatil de monardă: picături bucofaringiene fără etanol, gel gingival, unguent stomatologic şi pastă stomatologică adezivă, precum şi procedee tehnologice de preparare a lor. </w:t>
      </w:r>
    </w:p>
    <w:p w14:paraId="318EA312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S-a confirmat compatibilitatea fizico-chimică a uleiului volatil de monardă cu un șir de substanțe auxiliare, utilizate la prepararea formelor farmaceutice stomatologice semisolide.</w:t>
      </w:r>
    </w:p>
    <w:p w14:paraId="4812AC73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Au fost elaborate metode de analiză calitativă şi cantitativă pentru produsele stomatologice semisolide.</w:t>
      </w:r>
    </w:p>
    <w:p w14:paraId="0F6E997D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S-au selectat pentru identificare metoda spectrofotometrie derivată de ordinul 2 şi reacţia de culoare cu 4-nitroazobenzen; pentru dozare – metoda spectrofotometrie diferențială.</w:t>
      </w:r>
    </w:p>
    <w:p w14:paraId="2102FE7E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S-a recoltat biomasa proaspătă de monardă, care s-a supus hidrodistilării și s-a obținut ulei volatil de monardă.</w:t>
      </w:r>
    </w:p>
    <w:p w14:paraId="0AE9F674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S-a evaluat compoziția fito-chimică a plantelor de monardă, anul II de vegetaţie.</w:t>
      </w:r>
    </w:p>
    <w:p w14:paraId="4CA068FA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A fost optimizat procedeul de obținere a substanței active „Ulei volatil de monardă cu timochinonă".</w:t>
      </w:r>
    </w:p>
    <w:p w14:paraId="40E8186F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S-a efectuat studiul pilot de biodisponibilitate al principiilor active din extractul fluid şi picăturile bucofaringiene de monardă la aplicarea pe mucoasa bucală.</w:t>
      </w:r>
    </w:p>
    <w:p w14:paraId="22FE3D75" w14:textId="77777777" w:rsidR="007C5D19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S-a elaborat tehnica de lucru corespunzătoare de dozare a principiilor active în prezenţa salivei prin metoda HPLC-UV. </w:t>
      </w:r>
    </w:p>
    <w:p w14:paraId="235FCE4B" w14:textId="175BA4A3" w:rsidR="000D26A1" w:rsidRPr="000F466D" w:rsidRDefault="007C5D19" w:rsidP="000F466D">
      <w:pPr>
        <w:pStyle w:val="List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>S-a determinat activitatea antibacteriană</w:t>
      </w:r>
      <w:r w:rsidRPr="000F466D">
        <w:rPr>
          <w:rFonts w:ascii="Times New Roman" w:eastAsia="Times New Roman" w:hAnsi="Times New Roman"/>
          <w:lang w:eastAsia="ru-RU"/>
        </w:rPr>
        <w:t xml:space="preserve"> </w:t>
      </w:r>
      <w:r w:rsidRPr="000F466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a uleiului volatil de monardă cu timochinonă, uleiului volatil de monardă fără timochinonă și extractului fluid din monardă. </w:t>
      </w:r>
    </w:p>
    <w:sectPr w:rsidR="000D26A1" w:rsidRPr="000F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85276"/>
    <w:multiLevelType w:val="hybridMultilevel"/>
    <w:tmpl w:val="935807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FE"/>
    <w:rsid w:val="000D26A1"/>
    <w:rsid w:val="000F466D"/>
    <w:rsid w:val="001A5C76"/>
    <w:rsid w:val="002448C1"/>
    <w:rsid w:val="003224FD"/>
    <w:rsid w:val="00390079"/>
    <w:rsid w:val="00663E38"/>
    <w:rsid w:val="0077540C"/>
    <w:rsid w:val="007C5D19"/>
    <w:rsid w:val="00827587"/>
    <w:rsid w:val="009E40D3"/>
    <w:rsid w:val="009E4987"/>
    <w:rsid w:val="00A14CB3"/>
    <w:rsid w:val="00A448F7"/>
    <w:rsid w:val="00B357FF"/>
    <w:rsid w:val="00CC50FE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1CBE"/>
  <w15:docId w15:val="{8F298FE6-E69C-499E-85EC-755F1B75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1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Normal"/>
    <w:link w:val="ListparagrafCaracter"/>
    <w:uiPriority w:val="99"/>
    <w:qFormat/>
    <w:rsid w:val="007C5D19"/>
    <w:pPr>
      <w:ind w:left="720"/>
      <w:contextualSpacing/>
    </w:p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Medium Grid 1 - Accent 21 Caracter,Normal bullet 2 Caracter,Bullet list Caracter"/>
    <w:link w:val="Listparagraf"/>
    <w:uiPriority w:val="99"/>
    <w:qFormat/>
    <w:locked/>
    <w:rsid w:val="007C5D19"/>
    <w:rPr>
      <w:rFonts w:ascii="Calibri" w:eastAsia="Calibri" w:hAnsi="Calibri" w:cs="Times New Roman"/>
      <w:lang w:val="en-US"/>
    </w:rPr>
  </w:style>
  <w:style w:type="character" w:customStyle="1" w:styleId="tlid-translation">
    <w:name w:val="tlid-translation"/>
    <w:rsid w:val="007C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3</cp:revision>
  <dcterms:created xsi:type="dcterms:W3CDTF">2022-01-12T16:14:00Z</dcterms:created>
  <dcterms:modified xsi:type="dcterms:W3CDTF">2022-01-13T04:39:00Z</dcterms:modified>
</cp:coreProperties>
</file>