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7015" w14:textId="77777777" w:rsidR="00253070" w:rsidRPr="00DB2A2A" w:rsidRDefault="00253070" w:rsidP="0025307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</w:t>
      </w:r>
      <w:r w:rsidRPr="00DB2A2A">
        <w:rPr>
          <w:rFonts w:ascii="Times New Roman" w:hAnsi="Times New Roman" w:cs="Times New Roman"/>
          <w:b/>
          <w:lang w:val="en-US"/>
        </w:rPr>
        <w:t>RAPORT ȘTIINȚIFIC ANUAL</w:t>
      </w:r>
    </w:p>
    <w:p w14:paraId="6FA5AA72" w14:textId="77777777" w:rsidR="00253070" w:rsidRPr="00DB2A2A" w:rsidRDefault="00253070" w:rsidP="00253070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privind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implementarea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proiectului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din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cadrul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Programului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de Stat (2020-2023)</w:t>
      </w:r>
    </w:p>
    <w:p w14:paraId="4188C8EE" w14:textId="77777777" w:rsidR="00253070" w:rsidRPr="00DB2A2A" w:rsidRDefault="00253070" w:rsidP="00253070">
      <w:pPr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DB2A2A">
        <w:rPr>
          <w:rFonts w:ascii="Times New Roman" w:hAnsi="Times New Roman" w:cs="Times New Roman"/>
          <w:b/>
          <w:lang w:val="en-US"/>
        </w:rPr>
        <w:t>”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Impactul</w:t>
      </w:r>
      <w:proofErr w:type="spellEnd"/>
      <w:proofErr w:type="gram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imunizării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asupra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morbidităţii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şi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mortalităţii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copiilor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prin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boli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respiratorii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în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Republica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Moldova” 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Cifrul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B2A2A">
        <w:rPr>
          <w:rFonts w:ascii="Times New Roman" w:hAnsi="Times New Roman" w:cs="Times New Roman"/>
          <w:b/>
          <w:lang w:val="en-US"/>
        </w:rPr>
        <w:t>proiectului</w:t>
      </w:r>
      <w:proofErr w:type="spellEnd"/>
      <w:r w:rsidRPr="00DB2A2A">
        <w:rPr>
          <w:rFonts w:ascii="Times New Roman" w:hAnsi="Times New Roman" w:cs="Times New Roman"/>
          <w:b/>
          <w:lang w:val="en-US"/>
        </w:rPr>
        <w:t xml:space="preserve">     20.80009.8007.08</w:t>
      </w:r>
    </w:p>
    <w:p w14:paraId="3791337E" w14:textId="77777777" w:rsidR="00253070" w:rsidRPr="008847EE" w:rsidRDefault="00253070" w:rsidP="008847EE">
      <w:pPr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Prioritatea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Strategică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Supravegherea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epidemiologică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– </w:t>
      </w: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măsuri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de control și </w:t>
      </w: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răspuns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, diagnostic și </w:t>
      </w: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tratament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al </w:t>
      </w: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bolilor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proofErr w:type="spellStart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transmisibile</w:t>
      </w:r>
      <w:proofErr w:type="spellEnd"/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.</w:t>
      </w:r>
    </w:p>
    <w:p w14:paraId="58714B3A" w14:textId="77777777" w:rsidR="00253070" w:rsidRPr="00BF0F31" w:rsidRDefault="00253070" w:rsidP="008847EE">
      <w:pPr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F0F31">
        <w:rPr>
          <w:rFonts w:ascii="Times New Roman" w:hAnsi="Times New Roman"/>
          <w:bCs/>
          <w:sz w:val="24"/>
          <w:szCs w:val="24"/>
          <w:lang w:val="ro-RO"/>
        </w:rPr>
        <w:t>În total au fost înrolați 279 de copii în studiu. Lotul final a constituit</w:t>
      </w:r>
      <w:r w:rsidRPr="00BF0F3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F0F31">
        <w:rPr>
          <w:rStyle w:val="y2iqfc"/>
          <w:rFonts w:ascii="Times New Roman" w:hAnsi="Times New Roman"/>
          <w:color w:val="202124"/>
          <w:sz w:val="24"/>
          <w:szCs w:val="24"/>
          <w:lang w:val="ro-RO"/>
        </w:rPr>
        <w:t>225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de copii elegibili.</w:t>
      </w:r>
      <w:r>
        <w:rPr>
          <w:rFonts w:ascii="Times New Roman" w:hAnsi="Times New Roman"/>
          <w:sz w:val="24"/>
          <w:szCs w:val="24"/>
          <w:lang w:val="ro-RO"/>
        </w:rPr>
        <w:t xml:space="preserve"> Copiii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 au avut vârsta cuprinsă între ≥8 săptămâni și ≤ 5 ani. Lotul cazurilor a inclus 75 de copii spitalizați în cadrul Institutului Mamei și Copilului și al Spitalului Clinic Municipal de Copii nr. 1 din Chișinău, care au prezentat simptome respiratorii acute și cărora nu li s-a administrat antibioticoterapie anterior spitalizării. Controalele au reprezentat o fracțiune de eșantionare a populației care nu a fost diagnosticată cu o patologie respiratorie. Pentru fiecare caz, au fost  alese la întâmplare 2 controale asociate, nr acestora a constituit 150 de pacienți. Controalele au fost asociate cazurilor după criterii de sex</w:t>
      </w:r>
      <w:r>
        <w:rPr>
          <w:rFonts w:ascii="Times New Roman" w:hAnsi="Times New Roman"/>
          <w:sz w:val="24"/>
          <w:szCs w:val="24"/>
          <w:lang w:val="ro-RO"/>
        </w:rPr>
        <w:t xml:space="preserve"> și vârstă, </w:t>
      </w:r>
      <w:r w:rsidRPr="00BF0F31">
        <w:rPr>
          <w:rFonts w:ascii="Times New Roman" w:eastAsia="Times New Roman" w:hAnsi="Times New Roman"/>
          <w:sz w:val="24"/>
          <w:szCs w:val="24"/>
          <w:lang w:val="ro-RO"/>
        </w:rPr>
        <w:t>corespu</w:t>
      </w:r>
      <w:r>
        <w:rPr>
          <w:rFonts w:ascii="Times New Roman" w:eastAsia="Times New Roman" w:hAnsi="Times New Roman"/>
          <w:sz w:val="24"/>
          <w:szCs w:val="24"/>
          <w:lang w:val="ro-RO"/>
        </w:rPr>
        <w:t>nzător raportului 1:2.</w:t>
      </w:r>
    </w:p>
    <w:p w14:paraId="0D5FE3D7" w14:textId="77777777" w:rsidR="00253070" w:rsidRPr="00BF0F31" w:rsidRDefault="00253070" w:rsidP="008847EE">
      <w:pPr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F0F31">
        <w:rPr>
          <w:rFonts w:ascii="Times New Roman" w:hAnsi="Times New Roman"/>
          <w:sz w:val="24"/>
          <w:szCs w:val="24"/>
          <w:lang w:val="ro-RO"/>
        </w:rPr>
        <w:t>Vârsta medie a copiilor parcticipanți a constituit  18,55 ± 1.1 luni. Conform apartenenței de sex, băieții au înregisrat 5</w:t>
      </w:r>
      <w:r>
        <w:rPr>
          <w:rFonts w:ascii="Times New Roman" w:hAnsi="Times New Roman"/>
          <w:sz w:val="24"/>
          <w:szCs w:val="24"/>
          <w:lang w:val="ro-RO"/>
        </w:rPr>
        <w:t>6.7%, cu rata băieți/ fete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= 1.10 /1. A existat totuși </w:t>
      </w:r>
      <w:r>
        <w:rPr>
          <w:rFonts w:ascii="Times New Roman" w:hAnsi="Times New Roman"/>
          <w:sz w:val="24"/>
          <w:szCs w:val="24"/>
          <w:lang w:val="ro-RO"/>
        </w:rPr>
        <w:t>o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distribuție teritorială inegală a cazurilor, astfel în din mediul urban au fost 95%, iar din cel rural - 5%. Expunerea la fumatul pasiv a fost un alt factor de risc studiat, astfel ponderea </w:t>
      </w:r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persoanelor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care au fumat în interiorul locuinței mai mult de 3 ore în fiecare săptămână pe parcursul ultimei luni din momentul intervievării constituie 21,33% în lotul cazurilor și 2,66 în lotul control.  Prematuritatea a fost decelată în 10,6% din cazuri și în proporție de 5.33% din controale.  </w:t>
      </w:r>
    </w:p>
    <w:p w14:paraId="32B45492" w14:textId="77777777" w:rsidR="00253070" w:rsidRDefault="00253070" w:rsidP="008847EE">
      <w:pPr>
        <w:ind w:firstLine="567"/>
        <w:jc w:val="both"/>
        <w:rPr>
          <w:rFonts w:ascii="Times New Roman" w:hAnsi="Times New Roman"/>
          <w:i/>
          <w:noProof/>
          <w:sz w:val="24"/>
          <w:szCs w:val="24"/>
          <w:lang w:val="en-US"/>
        </w:rPr>
      </w:pPr>
      <w:r w:rsidRPr="00BF0F31">
        <w:rPr>
          <w:rFonts w:ascii="Times New Roman" w:hAnsi="Times New Roman"/>
          <w:sz w:val="24"/>
          <w:szCs w:val="24"/>
          <w:lang w:val="ro-RO"/>
        </w:rPr>
        <w:t xml:space="preserve">Pacienților din lotul cazuri li s-a prelevat aspiratul nazofaringian pentru a realiza investigații microbiologice ulterioare. Dintre cele 75 de probe analizate, 58 (77,33%) au fost pozitive pentru infecția bacteriană. Examenul bacteriologic al specimenelor izolatelor nazofaringiene a identificat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>S. aureus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ca agent bacterian predominant de colonizare a nazofaringelui în cca 32%, fiind rezistent în 66% la peniciline, în 12% la macrolide și în 20% din cazuri cu o sensibilitate ridicată la antibiotice.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>Moraxella catharhalis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a fost evidențiată în 20% din cazuri, profilul rezistenței antimicrobiene conturând rezistență la meropenem în 40% din probe. Studierea profilului de susceptibilitate a relevat o prevalență îngrijorătoare și un model de rezistență al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>Moraxella catharhalis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la meropenem. De asemenea, în 20% din cazuri au fost depistate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>S.Dysgalactiae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grupele C și G, în 26% rezistente la peniciline, în 27% rezistente la Sulfametoxazol-Trimetoprim și în 20% cu o sensibilitate crescută la toate grupele de antibiotice. Spectrul etiologiei respiratorii prevenibile prin vaccinare a notat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>S. pneumoniae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în 1,33% din cazuri și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>H. Influenzae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în 4%, dar este de menționat faptul că acestea au fost notate în titruri mici, ceea ce sugerează statutul de purtător, evidențiind un risc potențial de apariție a infecțiilor invazive.</w:t>
      </w:r>
      <w:r w:rsidRPr="001467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Este de remarcat </w:t>
      </w:r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t>faptul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 că 8% dintre microorganismele identificate au prezentat bacterii extrem de rezistente precum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>S. Aureus MRSA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>Burkholderia cepacia, Acinetobacter lwoffii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. Totodată, este important de menționat că în cazul a 10 exemplare colectate (13,3% din cazuri) s-au evidențiat creșteri bacteriene mixte, preponderent constituite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 xml:space="preserve">din S.Dysgalactiae, S. Aureus </w:t>
      </w:r>
      <w:r w:rsidRPr="00BF0F31">
        <w:rPr>
          <w:rFonts w:ascii="Times New Roman" w:hAnsi="Times New Roman"/>
          <w:sz w:val="24"/>
          <w:szCs w:val="24"/>
          <w:lang w:val="ro-RO"/>
        </w:rPr>
        <w:t>și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 xml:space="preserve"> S pyogenes</w:t>
      </w:r>
      <w:r w:rsidRPr="00BF0F31">
        <w:rPr>
          <w:rFonts w:ascii="Times New Roman" w:hAnsi="Times New Roman"/>
          <w:sz w:val="24"/>
          <w:szCs w:val="24"/>
          <w:lang w:val="ro-RO"/>
        </w:rPr>
        <w:t xml:space="preserve">. Spectrul microbiologic decelat în specimenele cazurilor nevaccinate este reprezentat de 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 xml:space="preserve">S.Dysgalactiae, Moraxella Catharhalis </w:t>
      </w:r>
      <w:r w:rsidRPr="00BF0F31">
        <w:rPr>
          <w:rFonts w:ascii="Times New Roman" w:hAnsi="Times New Roman"/>
          <w:sz w:val="24"/>
          <w:szCs w:val="24"/>
          <w:lang w:val="ro-RO"/>
        </w:rPr>
        <w:t>și</w:t>
      </w:r>
      <w:r w:rsidRPr="00BF0F31">
        <w:rPr>
          <w:rFonts w:ascii="Times New Roman" w:hAnsi="Times New Roman"/>
          <w:i/>
          <w:sz w:val="24"/>
          <w:szCs w:val="24"/>
          <w:lang w:val="ro-RO"/>
        </w:rPr>
        <w:t xml:space="preserve"> Candida albicans.</w:t>
      </w:r>
    </w:p>
    <w:p w14:paraId="4B1D37FC" w14:textId="77777777" w:rsidR="00253070" w:rsidRPr="001467EA" w:rsidRDefault="00253070" w:rsidP="008847EE">
      <w:pPr>
        <w:ind w:firstLine="567"/>
        <w:jc w:val="both"/>
        <w:rPr>
          <w:rFonts w:ascii="Times New Roman" w:hAnsi="Times New Roman"/>
          <w:i/>
          <w:noProof/>
          <w:sz w:val="24"/>
          <w:szCs w:val="24"/>
          <w:lang w:val="en-US"/>
        </w:rPr>
      </w:pPr>
      <w:r w:rsidRPr="008847EE">
        <w:rPr>
          <w:rFonts w:ascii="Times New Roman" w:hAnsi="Times New Roman"/>
          <w:bCs/>
          <w:noProof/>
          <w:sz w:val="24"/>
          <w:szCs w:val="24"/>
          <w:lang w:val="ro-RO"/>
        </w:rPr>
        <w:lastRenderedPageBreak/>
        <w:t>Cunoașterea</w:t>
      </w:r>
      <w:r w:rsidRPr="001467EA">
        <w:rPr>
          <w:rFonts w:ascii="Times New Roman" w:hAnsi="Times New Roman"/>
          <w:noProof/>
          <w:sz w:val="24"/>
          <w:szCs w:val="24"/>
          <w:lang w:val="en-US"/>
        </w:rPr>
        <w:t xml:space="preserve"> statutului vaccinal a permis estimarea Odds Ratio (compararea ratei de atac a pacienților vaccinați și celor nevaccinați). </w:t>
      </w:r>
      <w:r w:rsidRPr="00BF0F31">
        <w:rPr>
          <w:rFonts w:ascii="Times New Roman" w:hAnsi="Times New Roman"/>
          <w:bCs/>
          <w:noProof/>
          <w:sz w:val="24"/>
          <w:szCs w:val="24"/>
          <w:lang w:val="ro-RO"/>
        </w:rPr>
        <w:t>OR=0.1892</w:t>
      </w:r>
      <w:r w:rsidRPr="00BF0F31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Pr="00BF0F31">
        <w:rPr>
          <w:rFonts w:ascii="Times New Roman" w:hAnsi="Times New Roman"/>
          <w:noProof/>
          <w:sz w:val="24"/>
          <w:szCs w:val="24"/>
          <w:lang w:val="ro-RO"/>
        </w:rPr>
        <w:t xml:space="preserve">(95% CI = 0.0358 to 0.9993); z statistic1.961 P= 0.0499 ). </w:t>
      </w:r>
      <w:r w:rsidRPr="001467EA">
        <w:rPr>
          <w:rFonts w:ascii="Times New Roman" w:hAnsi="Times New Roman"/>
          <w:noProof/>
          <w:sz w:val="24"/>
          <w:szCs w:val="24"/>
          <w:lang w:val="en-US"/>
        </w:rPr>
        <w:t>Valoarea eficacității vaccinarii de 81% traduce de fapt o reducere de cca 81% a apariției infecțiilor respiratorii în grupul vaccinat.</w:t>
      </w:r>
    </w:p>
    <w:p w14:paraId="3AF99B4F" w14:textId="77777777" w:rsidR="000D26A1" w:rsidRPr="00253070" w:rsidRDefault="00253070" w:rsidP="008847EE">
      <w:pPr>
        <w:ind w:firstLine="567"/>
        <w:jc w:val="both"/>
        <w:rPr>
          <w:lang w:val="en-US"/>
        </w:rPr>
      </w:pPr>
      <w:r w:rsidRPr="00BF0F31">
        <w:rPr>
          <w:rFonts w:ascii="Times New Roman" w:hAnsi="Times New Roman"/>
          <w:bCs/>
          <w:noProof/>
          <w:sz w:val="24"/>
          <w:szCs w:val="24"/>
          <w:lang w:val="ro-RO"/>
        </w:rPr>
        <w:t>Corelația acestor parametri calitativi a fost apreciată cu ajutorul coeficientului de contingență și coeficientul de asociație. Conform rezultatelor obțin</w:t>
      </w:r>
      <w:r>
        <w:rPr>
          <w:rFonts w:ascii="Times New Roman" w:hAnsi="Times New Roman"/>
          <w:bCs/>
          <w:noProof/>
          <w:sz w:val="24"/>
          <w:szCs w:val="24"/>
          <w:lang w:val="ro-RO"/>
        </w:rPr>
        <w:t xml:space="preserve">ute Ka  = 0,68, iar Kk =  0,46, fapt ce confirmă </w:t>
      </w:r>
      <w:r w:rsidRPr="00BF0F31">
        <w:rPr>
          <w:rFonts w:ascii="Times New Roman" w:hAnsi="Times New Roman"/>
          <w:bCs/>
          <w:noProof/>
          <w:sz w:val="24"/>
          <w:szCs w:val="24"/>
          <w:lang w:val="ro-RO"/>
        </w:rPr>
        <w:t>corelația – privind capacitatea de protecție a vaccinului.</w:t>
      </w:r>
    </w:p>
    <w:sectPr w:rsidR="000D26A1" w:rsidRPr="0025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FDC"/>
    <w:rsid w:val="000D26A1"/>
    <w:rsid w:val="001A5C76"/>
    <w:rsid w:val="002448C1"/>
    <w:rsid w:val="00253070"/>
    <w:rsid w:val="003224FD"/>
    <w:rsid w:val="00390079"/>
    <w:rsid w:val="00663E38"/>
    <w:rsid w:val="0077540C"/>
    <w:rsid w:val="00827587"/>
    <w:rsid w:val="008847EE"/>
    <w:rsid w:val="009E40D3"/>
    <w:rsid w:val="009E4987"/>
    <w:rsid w:val="00A14CB3"/>
    <w:rsid w:val="00A448F7"/>
    <w:rsid w:val="00B357FF"/>
    <w:rsid w:val="00D95E5E"/>
    <w:rsid w:val="00E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6B57"/>
  <w15:docId w15:val="{21595094-1D97-4D0E-A05E-CE82B75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7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y2iqfc">
    <w:name w:val="y2iqfc"/>
    <w:basedOn w:val="Fontdeparagrafimplicit"/>
    <w:rsid w:val="0025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3</cp:revision>
  <dcterms:created xsi:type="dcterms:W3CDTF">2022-01-12T15:43:00Z</dcterms:created>
  <dcterms:modified xsi:type="dcterms:W3CDTF">2022-01-13T04:36:00Z</dcterms:modified>
</cp:coreProperties>
</file>