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D8" w:rsidRPr="009C3687" w:rsidRDefault="002D71D8" w:rsidP="002D71D8">
      <w:pPr>
        <w:tabs>
          <w:tab w:val="left" w:pos="2940"/>
        </w:tabs>
        <w:spacing w:after="0" w:line="360" w:lineRule="auto"/>
        <w:jc w:val="center"/>
        <w:rPr>
          <w:rFonts w:ascii="Times New Roman" w:hAnsi="Times New Roman"/>
          <w:b/>
          <w:sz w:val="24"/>
          <w:szCs w:val="24"/>
          <w:lang w:val="ro-MO"/>
        </w:rPr>
      </w:pPr>
      <w:r w:rsidRPr="009C3687">
        <w:rPr>
          <w:rFonts w:ascii="Times New Roman" w:hAnsi="Times New Roman"/>
          <w:b/>
          <w:sz w:val="24"/>
          <w:szCs w:val="24"/>
          <w:lang w:val="ro-MO"/>
        </w:rPr>
        <w:t>RAPORT ANUAL</w:t>
      </w:r>
    </w:p>
    <w:p w:rsidR="002D71D8" w:rsidRPr="009C3687" w:rsidRDefault="002D71D8" w:rsidP="002D71D8">
      <w:pPr>
        <w:tabs>
          <w:tab w:val="left" w:pos="2940"/>
        </w:tabs>
        <w:spacing w:after="0" w:line="360" w:lineRule="auto"/>
        <w:jc w:val="center"/>
        <w:rPr>
          <w:rFonts w:ascii="Times New Roman" w:hAnsi="Times New Roman"/>
          <w:b/>
          <w:sz w:val="24"/>
          <w:szCs w:val="24"/>
          <w:lang w:val="ro-MO"/>
        </w:rPr>
      </w:pPr>
      <w:r w:rsidRPr="009C3687">
        <w:rPr>
          <w:rFonts w:ascii="Times New Roman" w:hAnsi="Times New Roman"/>
          <w:b/>
          <w:sz w:val="24"/>
          <w:szCs w:val="24"/>
          <w:lang w:val="ro-MO"/>
        </w:rPr>
        <w:t>privind implementarea proiectului din cadrul Programului de Stat (2020-2023)</w:t>
      </w:r>
    </w:p>
    <w:p w:rsidR="002D71D8" w:rsidRPr="009C3687" w:rsidRDefault="002D71D8" w:rsidP="002D71D8">
      <w:pPr>
        <w:tabs>
          <w:tab w:val="left" w:pos="2940"/>
        </w:tabs>
        <w:spacing w:after="0" w:line="360" w:lineRule="auto"/>
        <w:jc w:val="center"/>
        <w:rPr>
          <w:rFonts w:ascii="Times New Roman" w:hAnsi="Times New Roman"/>
          <w:b/>
          <w:sz w:val="24"/>
          <w:szCs w:val="24"/>
          <w:lang w:val="ro-RO"/>
        </w:rPr>
      </w:pPr>
      <w:bookmarkStart w:id="0" w:name="_Hlk87200012"/>
      <w:r w:rsidRPr="009C3687">
        <w:rPr>
          <w:rFonts w:ascii="Times New Roman" w:hAnsi="Times New Roman"/>
          <w:b/>
          <w:sz w:val="24"/>
          <w:szCs w:val="24"/>
          <w:lang w:val="ro-RO"/>
        </w:rPr>
        <w:t xml:space="preserve">„Explorarea infecțiilor nosocomiale în unitățile de terapie intensivă. Elaborarea preparatelor antibacteriene noi” </w:t>
      </w:r>
      <w:bookmarkEnd w:id="0"/>
      <w:r w:rsidRPr="009C3687">
        <w:rPr>
          <w:rFonts w:ascii="Times New Roman" w:hAnsi="Times New Roman"/>
          <w:b/>
          <w:sz w:val="24"/>
          <w:szCs w:val="24"/>
          <w:lang w:val="ro-RO"/>
        </w:rPr>
        <w:t>cu cifrul</w:t>
      </w:r>
      <w:r w:rsidRPr="009C3687">
        <w:rPr>
          <w:rFonts w:ascii="Times New Roman" w:hAnsi="Times New Roman"/>
          <w:b/>
          <w:i/>
          <w:sz w:val="24"/>
          <w:szCs w:val="24"/>
          <w:lang w:val="ro-RO"/>
        </w:rPr>
        <w:t xml:space="preserve"> </w:t>
      </w:r>
      <w:r w:rsidRPr="009C3687">
        <w:rPr>
          <w:rFonts w:ascii="Times New Roman" w:hAnsi="Times New Roman"/>
          <w:b/>
          <w:sz w:val="24"/>
          <w:szCs w:val="24"/>
          <w:lang w:val="ro-RO"/>
        </w:rPr>
        <w:t>20.80009.8007.05</w:t>
      </w:r>
    </w:p>
    <w:p w:rsidR="002D71D8" w:rsidRPr="009C3687" w:rsidRDefault="002D71D8" w:rsidP="002D71D8">
      <w:pPr>
        <w:tabs>
          <w:tab w:val="left" w:pos="2940"/>
        </w:tabs>
        <w:spacing w:after="0" w:line="360" w:lineRule="auto"/>
        <w:jc w:val="center"/>
        <w:rPr>
          <w:rFonts w:ascii="Times New Roman" w:hAnsi="Times New Roman"/>
          <w:b/>
          <w:sz w:val="24"/>
          <w:szCs w:val="24"/>
          <w:lang w:val="ro-RO"/>
        </w:rPr>
      </w:pPr>
      <w:r w:rsidRPr="009C3687">
        <w:rPr>
          <w:rFonts w:ascii="Times New Roman" w:hAnsi="Times New Roman"/>
          <w:b/>
          <w:sz w:val="24"/>
          <w:szCs w:val="24"/>
          <w:lang w:val="ro-RO"/>
        </w:rPr>
        <w:t>Etapa 2021</w:t>
      </w:r>
    </w:p>
    <w:p w:rsidR="002D71D8" w:rsidRPr="009C3687" w:rsidRDefault="002D71D8" w:rsidP="002D71D8">
      <w:pPr>
        <w:spacing w:after="0" w:line="276" w:lineRule="auto"/>
        <w:ind w:firstLine="567"/>
        <w:jc w:val="both"/>
        <w:rPr>
          <w:rFonts w:ascii="Times New Roman" w:hAnsi="Times New Roman"/>
          <w:bCs/>
          <w:sz w:val="24"/>
          <w:szCs w:val="24"/>
          <w:lang w:val="ro-MO"/>
        </w:rPr>
      </w:pPr>
      <w:r w:rsidRPr="009C3687">
        <w:rPr>
          <w:rFonts w:ascii="Times New Roman" w:hAnsi="Times New Roman"/>
          <w:sz w:val="24"/>
          <w:szCs w:val="24"/>
          <w:lang w:val="ro-MO"/>
        </w:rPr>
        <w:t xml:space="preserve">În rezultatul studiului epidemiologic realizat în cadrul Programului de Stat </w:t>
      </w:r>
      <w:r w:rsidRPr="009C3687">
        <w:rPr>
          <w:rFonts w:ascii="Times New Roman" w:hAnsi="Times New Roman"/>
          <w:sz w:val="24"/>
          <w:szCs w:val="24"/>
          <w:lang w:val="ro-RO"/>
        </w:rPr>
        <w:t>„Explorarea infecțiilor nosocomiale în unitățile de terapie intensivă. Elaborarea preparatelor antibacteriene noi” cu cifrul</w:t>
      </w:r>
      <w:r w:rsidRPr="009C3687">
        <w:rPr>
          <w:rFonts w:ascii="Times New Roman" w:hAnsi="Times New Roman"/>
          <w:i/>
          <w:sz w:val="24"/>
          <w:szCs w:val="24"/>
          <w:lang w:val="ro-RO"/>
        </w:rPr>
        <w:t xml:space="preserve"> </w:t>
      </w:r>
      <w:r w:rsidRPr="009C3687">
        <w:rPr>
          <w:rFonts w:ascii="Times New Roman" w:hAnsi="Times New Roman"/>
          <w:sz w:val="24"/>
          <w:szCs w:val="24"/>
          <w:lang w:val="ro-RO"/>
        </w:rPr>
        <w:t xml:space="preserve">20.80009.8007.05, sa constatat, că rata incidenței prin infecții septico-purulente nosocomiale (ISPN) este înaltă și variază în funcție de profilul secției: </w:t>
      </w:r>
      <w:r w:rsidRPr="009C3687">
        <w:rPr>
          <w:rFonts w:ascii="Times New Roman" w:hAnsi="Times New Roman"/>
          <w:bCs/>
          <w:sz w:val="24"/>
          <w:szCs w:val="24"/>
          <w:lang w:val="ro-MO"/>
        </w:rPr>
        <w:t>„Politraumatism” – 24,68%, „Malformații cardiace” – 34,8%, secțiile pentru pacienții cu COVID-19 – 39,07%.</w:t>
      </w:r>
    </w:p>
    <w:p w:rsidR="002D71D8" w:rsidRPr="009C3687" w:rsidRDefault="002D71D8" w:rsidP="002D71D8">
      <w:pPr>
        <w:spacing w:after="0" w:line="276" w:lineRule="auto"/>
        <w:ind w:firstLine="567"/>
        <w:jc w:val="both"/>
        <w:rPr>
          <w:rFonts w:ascii="Times New Roman" w:hAnsi="Times New Roman"/>
          <w:bCs/>
          <w:sz w:val="24"/>
          <w:szCs w:val="24"/>
          <w:lang w:val="ro-MO"/>
        </w:rPr>
      </w:pPr>
      <w:r w:rsidRPr="009C3687">
        <w:rPr>
          <w:rFonts w:ascii="Times New Roman" w:hAnsi="Times New Roman"/>
          <w:bCs/>
          <w:sz w:val="24"/>
          <w:szCs w:val="24"/>
          <w:lang w:val="ro-MO"/>
        </w:rPr>
        <w:t xml:space="preserve">În structura formelor nosologice predomină formele severe de infecții. În unitățile de terapie intensivă (UTI) de profil „Malformații cardiace” - pneumoniile – 50,7%, infecția de situs chirurgical – 12,68%, infecția tractului urinar (ITU) – 8,45% și septicemiile – 12,68%; în UTI de profil „Politraumatism” infecția de plagă – 41,07%, pneumoniile – 32,14%, ITU – 23,10%; </w:t>
      </w:r>
      <w:r w:rsidRPr="009C3687">
        <w:rPr>
          <w:rFonts w:ascii="Times New Roman" w:hAnsi="Times New Roman"/>
          <w:bCs/>
          <w:sz w:val="24"/>
          <w:szCs w:val="24"/>
          <w:lang w:val="ro-RO"/>
        </w:rPr>
        <w:t xml:space="preserve">în UTI </w:t>
      </w:r>
      <w:r w:rsidRPr="009C3687">
        <w:rPr>
          <w:rFonts w:ascii="Times New Roman" w:hAnsi="Times New Roman"/>
          <w:bCs/>
          <w:sz w:val="24"/>
          <w:szCs w:val="24"/>
          <w:lang w:val="ro-MO"/>
        </w:rPr>
        <w:t>COVID-19 - pneumoniile – 70,8%, ITU  - 20,6% și septicemiile – 8,0% în asocieri sau monoinfecții.</w:t>
      </w:r>
    </w:p>
    <w:p w:rsidR="002D71D8" w:rsidRPr="009C3687" w:rsidRDefault="002D71D8" w:rsidP="002D71D8">
      <w:pPr>
        <w:spacing w:after="0" w:line="276" w:lineRule="auto"/>
        <w:ind w:firstLine="567"/>
        <w:jc w:val="both"/>
        <w:rPr>
          <w:rFonts w:ascii="Times New Roman" w:hAnsi="Times New Roman"/>
          <w:bCs/>
          <w:sz w:val="24"/>
          <w:szCs w:val="24"/>
          <w:lang w:val="ro-MO"/>
        </w:rPr>
      </w:pPr>
      <w:r w:rsidRPr="009C3687">
        <w:rPr>
          <w:rFonts w:ascii="Times New Roman" w:hAnsi="Times New Roman"/>
          <w:bCs/>
          <w:sz w:val="24"/>
          <w:szCs w:val="24"/>
          <w:lang w:val="ro-MO"/>
        </w:rPr>
        <w:t xml:space="preserve">Structura polietiologică a agenților cauzali, variază în funcție de profilul UTI. În UTI „Malformații cardiace”, prevalează microorganismele de gen </w:t>
      </w:r>
      <w:r w:rsidRPr="009C3687">
        <w:rPr>
          <w:rFonts w:ascii="Times New Roman" w:hAnsi="Times New Roman"/>
          <w:bCs/>
          <w:i/>
          <w:sz w:val="24"/>
          <w:szCs w:val="24"/>
          <w:lang w:val="ro-MO"/>
        </w:rPr>
        <w:t>Staphylococcus</w:t>
      </w:r>
      <w:r w:rsidRPr="009C3687">
        <w:rPr>
          <w:rFonts w:ascii="Times New Roman" w:hAnsi="Times New Roman"/>
          <w:bCs/>
          <w:sz w:val="24"/>
          <w:szCs w:val="24"/>
          <w:lang w:val="ro-MO"/>
        </w:rPr>
        <w:t xml:space="preserve"> – 23,4%, </w:t>
      </w:r>
      <w:r w:rsidRPr="009C3687">
        <w:rPr>
          <w:rFonts w:ascii="Times New Roman" w:hAnsi="Times New Roman"/>
          <w:bCs/>
          <w:i/>
          <w:sz w:val="24"/>
          <w:szCs w:val="24"/>
          <w:lang w:val="ro-MO"/>
        </w:rPr>
        <w:t xml:space="preserve"> A. baumani</w:t>
      </w:r>
      <w:r w:rsidRPr="009C3687">
        <w:rPr>
          <w:rFonts w:ascii="Times New Roman" w:hAnsi="Times New Roman"/>
          <w:bCs/>
          <w:sz w:val="24"/>
          <w:szCs w:val="24"/>
          <w:lang w:val="ro-MO"/>
        </w:rPr>
        <w:t xml:space="preserve"> – 6,5%, </w:t>
      </w:r>
      <w:r w:rsidRPr="009C3687">
        <w:rPr>
          <w:rFonts w:ascii="Times New Roman" w:hAnsi="Times New Roman"/>
          <w:bCs/>
          <w:i/>
          <w:sz w:val="24"/>
          <w:szCs w:val="24"/>
          <w:lang w:val="ro-MO"/>
        </w:rPr>
        <w:t>Kl. pneumoniae – 18,2%, P. aeruginosa</w:t>
      </w:r>
      <w:r w:rsidRPr="009C3687">
        <w:rPr>
          <w:rFonts w:ascii="Times New Roman" w:hAnsi="Times New Roman"/>
          <w:bCs/>
          <w:sz w:val="24"/>
          <w:szCs w:val="24"/>
          <w:lang w:val="ro-MO"/>
        </w:rPr>
        <w:t xml:space="preserve"> – 9,1%, </w:t>
      </w:r>
      <w:r w:rsidRPr="009C3687">
        <w:rPr>
          <w:rFonts w:ascii="Times New Roman" w:hAnsi="Times New Roman"/>
          <w:bCs/>
          <w:i/>
          <w:sz w:val="24"/>
          <w:szCs w:val="24"/>
          <w:lang w:val="ro-MO"/>
        </w:rPr>
        <w:t xml:space="preserve">E. fecalis – </w:t>
      </w:r>
      <w:r w:rsidRPr="009C3687">
        <w:rPr>
          <w:rFonts w:ascii="Times New Roman" w:hAnsi="Times New Roman"/>
          <w:bCs/>
          <w:sz w:val="24"/>
          <w:szCs w:val="24"/>
          <w:lang w:val="ro-MO"/>
        </w:rPr>
        <w:t xml:space="preserve">18,2%. În UTI „Politraumatism” - </w:t>
      </w:r>
      <w:r w:rsidRPr="009C3687">
        <w:rPr>
          <w:rFonts w:ascii="Times New Roman" w:hAnsi="Times New Roman"/>
          <w:bCs/>
          <w:i/>
          <w:sz w:val="24"/>
          <w:szCs w:val="24"/>
          <w:lang w:val="ro-MO"/>
        </w:rPr>
        <w:t>Kl. pneumoniae – 19,79%, Acinetobacter  – 16,6%, P. aeruginosa</w:t>
      </w:r>
      <w:r w:rsidRPr="009C3687">
        <w:rPr>
          <w:rFonts w:ascii="Times New Roman" w:hAnsi="Times New Roman"/>
          <w:bCs/>
          <w:sz w:val="24"/>
          <w:szCs w:val="24"/>
          <w:lang w:val="ro-MO"/>
        </w:rPr>
        <w:t xml:space="preserve"> – 14,5% și </w:t>
      </w:r>
      <w:r w:rsidRPr="009C3687">
        <w:rPr>
          <w:rFonts w:ascii="Times New Roman" w:hAnsi="Times New Roman"/>
          <w:bCs/>
          <w:i/>
          <w:sz w:val="24"/>
          <w:szCs w:val="24"/>
          <w:lang w:val="ro-MO"/>
        </w:rPr>
        <w:t xml:space="preserve">E. fecalis – </w:t>
      </w:r>
      <w:r w:rsidRPr="009C3687">
        <w:rPr>
          <w:rFonts w:ascii="Times New Roman" w:hAnsi="Times New Roman"/>
          <w:bCs/>
          <w:sz w:val="24"/>
          <w:szCs w:val="24"/>
          <w:lang w:val="ro-MO"/>
        </w:rPr>
        <w:t xml:space="preserve">10,4%, iar în UTI COVID-19 – </w:t>
      </w:r>
      <w:r w:rsidRPr="009C3687">
        <w:rPr>
          <w:rFonts w:ascii="Times New Roman" w:hAnsi="Times New Roman"/>
          <w:bCs/>
          <w:i/>
          <w:sz w:val="24"/>
          <w:szCs w:val="24"/>
          <w:lang w:val="ro-MO"/>
        </w:rPr>
        <w:t xml:space="preserve">E. fecalis – 36,68%, Acinetobacter – 26,54%, Kl. pneumoniae – 7,8% și S. epidermidis – 7,3%, </w:t>
      </w:r>
      <w:r w:rsidRPr="009C3687">
        <w:rPr>
          <w:rFonts w:ascii="Times New Roman" w:hAnsi="Times New Roman"/>
          <w:bCs/>
          <w:sz w:val="24"/>
          <w:szCs w:val="24"/>
          <w:lang w:val="ro-MO"/>
        </w:rPr>
        <w:t xml:space="preserve">cât și fungi </w:t>
      </w:r>
      <w:r w:rsidRPr="009C3687">
        <w:rPr>
          <w:rFonts w:ascii="Times New Roman" w:hAnsi="Times New Roman"/>
          <w:bCs/>
          <w:i/>
          <w:sz w:val="24"/>
          <w:szCs w:val="24"/>
          <w:lang w:val="ro-MO"/>
        </w:rPr>
        <w:t xml:space="preserve">de gen Candida, </w:t>
      </w:r>
      <w:r w:rsidRPr="009C3687">
        <w:rPr>
          <w:rFonts w:ascii="Times New Roman" w:hAnsi="Times New Roman"/>
          <w:bCs/>
          <w:sz w:val="24"/>
          <w:szCs w:val="24"/>
          <w:lang w:val="ro-MO"/>
        </w:rPr>
        <w:t>izolate de la 18,01% pacienți.</w:t>
      </w:r>
    </w:p>
    <w:p w:rsidR="002D71D8" w:rsidRPr="009C3687" w:rsidRDefault="002D71D8" w:rsidP="002D71D8">
      <w:pPr>
        <w:spacing w:after="0" w:line="276" w:lineRule="auto"/>
        <w:ind w:firstLine="567"/>
        <w:jc w:val="both"/>
        <w:rPr>
          <w:rFonts w:ascii="Times New Roman" w:hAnsi="Times New Roman"/>
          <w:bCs/>
          <w:sz w:val="24"/>
          <w:szCs w:val="24"/>
          <w:lang w:val="ro-MO"/>
        </w:rPr>
      </w:pPr>
      <w:r w:rsidRPr="009C3687">
        <w:rPr>
          <w:rFonts w:ascii="Times New Roman" w:hAnsi="Times New Roman"/>
          <w:bCs/>
          <w:sz w:val="24"/>
          <w:szCs w:val="24"/>
          <w:lang w:val="ro-MO"/>
        </w:rPr>
        <w:t>Tulpinile izolate de la pacienții cu ISPN în 68,19% din probe au manifestat rezistență la antibiotice, în 5,12% din probe – rezistență intermediară și doar în 26,5% din probe – sensibilitate la antibioticele cercetate. Rezistență mai înaltă tulpinile izolate au manifestat față de aminoglicozide – 71,16%, peniciline – 81,39%, cefalosporine – 88,18%, chinolone – 75,38% și carbapeneme – 56,37%, inclusiv, față de gentamicină – 77,5%, ampicilină – 77,16%, ceftazidim – 87,5%, ceftriaxon – 87,5%, cefepim – 88,23%, ciprofloxacină – 83,95%, levofloxacină – 75,38%, impinem – 70,9%, antibiotice pe larg utilizate în prevenirea și tratamentul ISPN în UTI. 67,7% din tulpinile izolate s-au dovedit a fi polirezistente la antibiotice. Polirezistență înaltă sa constatat la agenții cauzali predominanți:</w:t>
      </w:r>
      <w:r w:rsidRPr="009C3687">
        <w:rPr>
          <w:rFonts w:ascii="Times New Roman" w:hAnsi="Times New Roman"/>
          <w:bCs/>
          <w:i/>
          <w:sz w:val="24"/>
          <w:szCs w:val="24"/>
          <w:lang w:val="ro-MO"/>
        </w:rPr>
        <w:t xml:space="preserve"> Kl. pneumoniae – 78,95%, Acinetobacter spp – 81,25%, P. aeruginosa – 92,86%, S. epidermidis – 81,81%. </w:t>
      </w:r>
      <w:r w:rsidRPr="009C3687">
        <w:rPr>
          <w:rFonts w:ascii="Times New Roman" w:hAnsi="Times New Roman"/>
          <w:bCs/>
          <w:sz w:val="24"/>
          <w:szCs w:val="24"/>
          <w:lang w:val="ro-MO"/>
        </w:rPr>
        <w:t xml:space="preserve">Tulpinile de gen </w:t>
      </w:r>
      <w:r w:rsidRPr="009C3687">
        <w:rPr>
          <w:rFonts w:ascii="Times New Roman" w:hAnsi="Times New Roman"/>
          <w:bCs/>
          <w:i/>
          <w:sz w:val="24"/>
          <w:szCs w:val="24"/>
          <w:lang w:val="ro-MO"/>
        </w:rPr>
        <w:t xml:space="preserve">Staphylococcus în 52,0% </w:t>
      </w:r>
      <w:r w:rsidRPr="009C3687">
        <w:rPr>
          <w:rFonts w:ascii="Times New Roman" w:hAnsi="Times New Roman"/>
          <w:bCs/>
          <w:sz w:val="24"/>
          <w:szCs w:val="24"/>
          <w:lang w:val="ro-MO"/>
        </w:rPr>
        <w:t>cazuri s-au dovedit a fi</w:t>
      </w:r>
      <w:r w:rsidRPr="009C3687">
        <w:rPr>
          <w:rFonts w:ascii="Times New Roman" w:hAnsi="Times New Roman"/>
          <w:bCs/>
          <w:i/>
          <w:sz w:val="24"/>
          <w:szCs w:val="24"/>
          <w:lang w:val="ro-MO"/>
        </w:rPr>
        <w:t xml:space="preserve"> </w:t>
      </w:r>
      <w:r w:rsidRPr="009C3687">
        <w:rPr>
          <w:rFonts w:ascii="Times New Roman" w:hAnsi="Times New Roman"/>
          <w:bCs/>
          <w:sz w:val="24"/>
          <w:szCs w:val="24"/>
          <w:lang w:val="ro-MO"/>
        </w:rPr>
        <w:t>meticilino-rezistente.</w:t>
      </w:r>
    </w:p>
    <w:p w:rsidR="002D71D8" w:rsidRPr="009C3687" w:rsidRDefault="002D71D8" w:rsidP="002D71D8">
      <w:pPr>
        <w:spacing w:after="0" w:line="276" w:lineRule="auto"/>
        <w:ind w:firstLine="567"/>
        <w:jc w:val="both"/>
        <w:rPr>
          <w:rFonts w:ascii="Times New Roman" w:hAnsi="Times New Roman"/>
          <w:bCs/>
          <w:sz w:val="24"/>
          <w:szCs w:val="24"/>
          <w:lang w:val="ro-MO"/>
        </w:rPr>
      </w:pPr>
      <w:r w:rsidRPr="009C3687">
        <w:rPr>
          <w:rFonts w:ascii="Times New Roman" w:hAnsi="Times New Roman"/>
          <w:bCs/>
          <w:sz w:val="24"/>
          <w:szCs w:val="24"/>
          <w:lang w:val="ro-MO"/>
        </w:rPr>
        <w:t>Din factorii de risc în dezvoltarea ISP în UTI s-au dovedit a fi: utilizarea dispozitivelor invazive în procesul de tratament  (tubul endotraheal pentru ventilarea pulmonară, cateterul vascular și urinar, drenul toracic și abdominal, sonda nasogastrică, trahostomia), comorbiditățile, politraumatismul, administrarea de vasopresoare, durata aflării pacienților în UTI etc.</w:t>
      </w:r>
    </w:p>
    <w:p w:rsidR="002D71D8" w:rsidRPr="009C3687" w:rsidRDefault="002D71D8" w:rsidP="002D71D8">
      <w:pPr>
        <w:spacing w:after="0" w:line="276" w:lineRule="auto"/>
        <w:ind w:firstLine="567"/>
        <w:jc w:val="both"/>
        <w:rPr>
          <w:rFonts w:ascii="Times New Roman" w:hAnsi="Times New Roman"/>
          <w:bCs/>
          <w:sz w:val="24"/>
          <w:szCs w:val="24"/>
          <w:lang w:val="ro-MO"/>
        </w:rPr>
      </w:pPr>
      <w:r w:rsidRPr="009C3687">
        <w:rPr>
          <w:rFonts w:ascii="Times New Roman" w:hAnsi="Times New Roman"/>
          <w:bCs/>
          <w:sz w:val="24"/>
          <w:szCs w:val="24"/>
          <w:lang w:val="ro-MO"/>
        </w:rPr>
        <w:tab/>
        <w:t>De exemplu, intubarea endotraheală a pacientului crește riscul de dezvoltare a ISPN în medie cu 23,68%, și crește odată cu durata exponențială. La o durată de ventilare pulmonară până la 24 ore riscul constituie 5,56%, între 24-96 ore – 23,08%, iar în cazul perioadei de ventilare pulmonară mai mare de 96 ore riscul dezvoltării pneumoniei nosocomiale crește cu 56,10%.</w:t>
      </w:r>
    </w:p>
    <w:p w:rsidR="002D71D8" w:rsidRPr="009C3687" w:rsidRDefault="002D71D8" w:rsidP="002D71D8">
      <w:pPr>
        <w:spacing w:after="0" w:line="276" w:lineRule="auto"/>
        <w:ind w:firstLine="567"/>
        <w:jc w:val="both"/>
        <w:rPr>
          <w:rFonts w:ascii="Times New Roman" w:hAnsi="Times New Roman"/>
          <w:bCs/>
          <w:sz w:val="24"/>
          <w:szCs w:val="24"/>
          <w:lang w:val="ro-MO"/>
        </w:rPr>
      </w:pPr>
      <w:r w:rsidRPr="009C3687">
        <w:rPr>
          <w:rFonts w:ascii="Times New Roman" w:hAnsi="Times New Roman"/>
          <w:bCs/>
          <w:sz w:val="24"/>
          <w:szCs w:val="24"/>
          <w:lang w:val="ro-MO"/>
        </w:rPr>
        <w:lastRenderedPageBreak/>
        <w:t>Problema ISPN în UTI constă și în impactul clinic și economic semnificativ. Durata spitalizării în UTI a pacienților cu ISPN este de 2,2–2,5 ori mai mare, sinecostul per pacient - 4,56 ori, rata letalității de 6,67-8,43 ori mai mare în comparație cu pacienții fără ISPN.</w:t>
      </w:r>
    </w:p>
    <w:p w:rsidR="002D71D8" w:rsidRPr="009C3687" w:rsidRDefault="002D71D8" w:rsidP="002D71D8">
      <w:pPr>
        <w:spacing w:after="0" w:line="276" w:lineRule="auto"/>
        <w:ind w:firstLine="567"/>
        <w:jc w:val="both"/>
        <w:rPr>
          <w:rFonts w:ascii="Times New Roman" w:hAnsi="Times New Roman"/>
          <w:bCs/>
          <w:sz w:val="24"/>
          <w:szCs w:val="24"/>
          <w:lang w:val="ro-MO"/>
        </w:rPr>
      </w:pPr>
      <w:r w:rsidRPr="009C3687">
        <w:rPr>
          <w:rFonts w:ascii="Times New Roman" w:hAnsi="Times New Roman"/>
          <w:bCs/>
          <w:sz w:val="24"/>
          <w:szCs w:val="24"/>
          <w:lang w:val="ro-MO"/>
        </w:rPr>
        <w:t>Reieșind din polirezistența înaltă a agenților cauzali predominanți în ISPN un imperativ al timpului este obținerea preparatelor antibacteriene noi. În acest context în cadrul proiectului, în anul 2021, au fost obținute și studiate 17 noi materiale polimerice grefate cu compuși antibacterieni. În rezultat au fost selectate două substanțe cu proprietăți antibacteriene pronunțate și toxicitate joasă, care, în continuare, vor fi folosite în obținerea remediilor antibacteriene noi.</w:t>
      </w:r>
    </w:p>
    <w:p w:rsidR="000D26A1" w:rsidRPr="002D71D8" w:rsidRDefault="000D26A1">
      <w:pPr>
        <w:rPr>
          <w:lang w:val="ro-MO"/>
        </w:rPr>
      </w:pPr>
      <w:bookmarkStart w:id="1" w:name="_GoBack"/>
      <w:bookmarkEnd w:id="1"/>
    </w:p>
    <w:sectPr w:rsidR="000D26A1" w:rsidRPr="002D7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14"/>
    <w:rsid w:val="000D26A1"/>
    <w:rsid w:val="001A5C76"/>
    <w:rsid w:val="002448C1"/>
    <w:rsid w:val="002D71D8"/>
    <w:rsid w:val="003224FD"/>
    <w:rsid w:val="00390079"/>
    <w:rsid w:val="00663E38"/>
    <w:rsid w:val="0077540C"/>
    <w:rsid w:val="00827587"/>
    <w:rsid w:val="009E40D3"/>
    <w:rsid w:val="009E4987"/>
    <w:rsid w:val="00A14CB3"/>
    <w:rsid w:val="00A448F7"/>
    <w:rsid w:val="00B357FF"/>
    <w:rsid w:val="00C96F14"/>
    <w:rsid w:val="00D9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D8"/>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D8"/>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3594</Characters>
  <Application>Microsoft Office Word</Application>
  <DocSecurity>0</DocSecurity>
  <Lines>29</Lines>
  <Paragraphs>8</Paragraphs>
  <ScaleCrop>false</ScaleCrop>
  <Company>SPecialiST RePack</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2022-01-12T16:12:00Z</dcterms:created>
  <dcterms:modified xsi:type="dcterms:W3CDTF">2022-01-12T16:12:00Z</dcterms:modified>
</cp:coreProperties>
</file>