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391F" w14:textId="77777777" w:rsidR="00BA4FF2" w:rsidRPr="00592AD5" w:rsidRDefault="00BA4FF2" w:rsidP="00BA4FF2">
      <w:pPr>
        <w:tabs>
          <w:tab w:val="left" w:pos="29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592AD5">
        <w:rPr>
          <w:rFonts w:ascii="Times New Roman" w:eastAsia="Calibri" w:hAnsi="Times New Roman" w:cs="Times New Roman"/>
          <w:b/>
          <w:lang w:val="en-US"/>
        </w:rPr>
        <w:t>RAPORT ȘTIINȚIFIC ANUAL</w:t>
      </w:r>
    </w:p>
    <w:p w14:paraId="42BE2C02" w14:textId="77777777" w:rsidR="00BA4FF2" w:rsidRPr="00592AD5" w:rsidRDefault="00BA4FF2" w:rsidP="00BA4FF2">
      <w:pPr>
        <w:tabs>
          <w:tab w:val="left" w:pos="29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proofErr w:type="spellStart"/>
      <w:r w:rsidRPr="00592AD5">
        <w:rPr>
          <w:rFonts w:ascii="Times New Roman" w:eastAsia="Calibri" w:hAnsi="Times New Roman" w:cs="Times New Roman"/>
          <w:b/>
          <w:lang w:val="en-US"/>
        </w:rPr>
        <w:t>privind</w:t>
      </w:r>
      <w:proofErr w:type="spellEnd"/>
      <w:r w:rsidRPr="00592AD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92AD5">
        <w:rPr>
          <w:rFonts w:ascii="Times New Roman" w:eastAsia="Calibri" w:hAnsi="Times New Roman" w:cs="Times New Roman"/>
          <w:b/>
          <w:lang w:val="en-US"/>
        </w:rPr>
        <w:t>implementarea</w:t>
      </w:r>
      <w:proofErr w:type="spellEnd"/>
      <w:r w:rsidRPr="00592AD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92AD5">
        <w:rPr>
          <w:rFonts w:ascii="Times New Roman" w:eastAsia="Calibri" w:hAnsi="Times New Roman" w:cs="Times New Roman"/>
          <w:b/>
          <w:lang w:val="en-US"/>
        </w:rPr>
        <w:t>proiectului</w:t>
      </w:r>
      <w:proofErr w:type="spellEnd"/>
      <w:r w:rsidRPr="00592AD5">
        <w:rPr>
          <w:rFonts w:ascii="Times New Roman" w:eastAsia="Calibri" w:hAnsi="Times New Roman" w:cs="Times New Roman"/>
          <w:b/>
          <w:lang w:val="en-US"/>
        </w:rPr>
        <w:t xml:space="preserve"> din </w:t>
      </w:r>
      <w:proofErr w:type="spellStart"/>
      <w:r w:rsidRPr="00592AD5">
        <w:rPr>
          <w:rFonts w:ascii="Times New Roman" w:eastAsia="Calibri" w:hAnsi="Times New Roman" w:cs="Times New Roman"/>
          <w:b/>
          <w:lang w:val="en-US"/>
        </w:rPr>
        <w:t>cadrul</w:t>
      </w:r>
      <w:proofErr w:type="spellEnd"/>
      <w:r w:rsidRPr="00592AD5">
        <w:rPr>
          <w:rFonts w:ascii="Times New Roman" w:eastAsia="Calibri" w:hAnsi="Times New Roman" w:cs="Times New Roman"/>
          <w:b/>
          <w:lang w:val="en-US"/>
        </w:rPr>
        <w:t xml:space="preserve"> </w:t>
      </w:r>
      <w:proofErr w:type="spellStart"/>
      <w:r w:rsidRPr="00592AD5">
        <w:rPr>
          <w:rFonts w:ascii="Times New Roman" w:eastAsia="Calibri" w:hAnsi="Times New Roman" w:cs="Times New Roman"/>
          <w:b/>
          <w:lang w:val="en-US"/>
        </w:rPr>
        <w:t>Programului</w:t>
      </w:r>
      <w:proofErr w:type="spellEnd"/>
      <w:r w:rsidRPr="00592AD5">
        <w:rPr>
          <w:rFonts w:ascii="Times New Roman" w:eastAsia="Calibri" w:hAnsi="Times New Roman" w:cs="Times New Roman"/>
          <w:b/>
          <w:lang w:val="en-US"/>
        </w:rPr>
        <w:t xml:space="preserve"> de Stat (2020-2023)</w:t>
      </w:r>
    </w:p>
    <w:p w14:paraId="14AB2916" w14:textId="77777777" w:rsidR="00BA4FF2" w:rsidRPr="00592AD5" w:rsidRDefault="00BA4FF2" w:rsidP="00BA4FF2">
      <w:pPr>
        <w:tabs>
          <w:tab w:val="left" w:pos="2940"/>
        </w:tabs>
        <w:spacing w:after="0"/>
        <w:jc w:val="center"/>
        <w:rPr>
          <w:rFonts w:ascii="Times New Roman" w:eastAsia="Calibri" w:hAnsi="Times New Roman" w:cs="Times New Roman"/>
          <w:i/>
          <w:color w:val="FF0000"/>
          <w:lang w:val="en-US"/>
        </w:rPr>
      </w:pPr>
      <w:proofErr w:type="gramStart"/>
      <w:r w:rsidRPr="00592AD5">
        <w:rPr>
          <w:rFonts w:ascii="Times New Roman" w:eastAsia="Calibri" w:hAnsi="Times New Roman" w:cs="Times New Roman"/>
          <w:b/>
          <w:spacing w:val="-1"/>
          <w:lang w:val="en-US"/>
        </w:rPr>
        <w:t>,,</w:t>
      </w:r>
      <w:proofErr w:type="gramEnd"/>
      <w:r w:rsidRPr="00592AD5">
        <w:rPr>
          <w:rFonts w:ascii="Times New Roman" w:eastAsia="Calibri" w:hAnsi="Times New Roman" w:cs="Times New Roman"/>
          <w:b/>
          <w:spacing w:val="-1"/>
          <w:lang w:val="en-US"/>
        </w:rPr>
        <w:t xml:space="preserve">ABORDAREA STRATEGICĂ A TROMBOEMBOLISMULUI  PULMONAR ÎN PERIOADA PRE-ȘI POST SPITALICEASCĂ ÎN CONDIȚIILE REPUBLICII MOLDOVA” </w:t>
      </w:r>
    </w:p>
    <w:p w14:paraId="0553FB1A" w14:textId="77777777" w:rsidR="00BA4FF2" w:rsidRPr="00592AD5" w:rsidRDefault="00BA4FF2" w:rsidP="00BA4FF2">
      <w:pPr>
        <w:tabs>
          <w:tab w:val="left" w:pos="2940"/>
        </w:tabs>
        <w:spacing w:after="0"/>
        <w:jc w:val="center"/>
        <w:rPr>
          <w:rFonts w:ascii="Times New Roman" w:eastAsia="Calibri" w:hAnsi="Times New Roman" w:cs="Times New Roman"/>
          <w:lang w:val="en-US"/>
        </w:rPr>
      </w:pPr>
      <w:r w:rsidRPr="00592AD5">
        <w:rPr>
          <w:rFonts w:ascii="Times New Roman" w:eastAsia="Calibri" w:hAnsi="Times New Roman" w:cs="Times New Roman"/>
          <w:b/>
          <w:u w:val="single"/>
          <w:lang w:val="en-US"/>
        </w:rPr>
        <w:t>20.80009.8007.28</w:t>
      </w:r>
      <w:r w:rsidRPr="00592AD5">
        <w:rPr>
          <w:rFonts w:ascii="Times New Roman" w:eastAsia="Calibri" w:hAnsi="Times New Roman" w:cs="Times New Roman"/>
          <w:lang w:val="en-US"/>
        </w:rPr>
        <w:t xml:space="preserve"> </w:t>
      </w:r>
    </w:p>
    <w:p w14:paraId="01D4BA37" w14:textId="77777777" w:rsidR="00BA4FF2" w:rsidRPr="00146829" w:rsidRDefault="00BA4FF2" w:rsidP="00BA4FF2">
      <w:pPr>
        <w:keepNext/>
        <w:spacing w:after="12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Tromboembolismul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pulmonar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acut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reprezintă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o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probemă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clinică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devastatoare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cu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rată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înaltă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mortalitate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inclusiv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din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complicații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tardive.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Scopul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studiului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la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etapa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actuală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caracteristica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clinico-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paraclinică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paciențior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determinarea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predictorilor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pronosticului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scurtă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lungă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durată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TEP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acut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.  Este un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studiu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prospectiv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unicentric, care </w:t>
      </w:r>
      <w:proofErr w:type="gram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</w:t>
      </w:r>
      <w:proofErr w:type="gram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inclus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internati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Institutul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Cardiologie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suspecție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TEP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acut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pe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parcursul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anilor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2020-2021.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Datele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clinice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colectate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stocate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fișa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protocolului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studiu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Numarul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pacienților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parțial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completat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din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Institutul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Medicină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Urgentă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spital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polivalent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sf.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Treime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După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un an de la TEP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confirmat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rechemati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pentru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reexaminare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.  Din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lotul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total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(121 cu TEPA) 69 (57,02%)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erau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barbați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vârsta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65,1±12,2 ani,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variind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între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32-87 ani.</w:t>
      </w:r>
      <w:r w:rsidRPr="00146829">
        <w:rPr>
          <w:rFonts w:ascii="Calibri" w:eastAsia="Calibri" w:hAnsi="Calibri" w:cs="Times New Roman"/>
          <w:lang w:val="en-US"/>
        </w:rPr>
        <w:t xml:space="preserve"> </w:t>
      </w: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Cota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pacienților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COVID 19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prezenta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14% (n=17)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dintre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selectati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COVID – 19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prezentau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virstă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mai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avansată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comparativ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fara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coronavirus (68,1 +6,9 vs 62,13+7,8 ani).</w:t>
      </w:r>
      <w:r w:rsidRPr="00146829">
        <w:rPr>
          <w:rFonts w:ascii="Calibri" w:eastAsia="Calibri" w:hAnsi="Calibri" w:cs="Times New Roman"/>
          <w:lang w:val="en-US"/>
        </w:rPr>
        <w:t xml:space="preserve"> </w:t>
      </w: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Circa 74 la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suta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din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(n=89) s-au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spitalizat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urgență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35,5% (n=43)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stare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instabilă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hemodinamic.</w:t>
      </w:r>
      <w:r w:rsidRPr="00146829">
        <w:rPr>
          <w:rFonts w:ascii="Calibri" w:eastAsia="Calibri" w:hAnsi="Calibri" w:cs="Times New Roman"/>
          <w:lang w:val="fr-FR"/>
        </w:rPr>
        <w:t xml:space="preserve"> </w:t>
      </w: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fr-FR"/>
        </w:rPr>
        <w:t>Î</w:t>
      </w: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n 41,5%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cazuri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diagnosticul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trimitere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internare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externare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nu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corespuns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motive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multiple.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Durata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spitalizare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10,19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variind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între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2-42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Cca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70% (n=81) din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bolnavi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tratati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initial in secta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terapiei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intensivă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Durata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spitalizare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BTI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constituit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5,08 +3,1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semnificativ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mare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COVID 19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comparativ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fara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infectare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virala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(6,1 +4,08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vs 4,06+ 2,7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Rata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decesului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intraspitalicesc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20,6</w:t>
      </w:r>
      <w:proofErr w:type="gram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%  (</w:t>
      </w:r>
      <w:proofErr w:type="gram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n=25) per general, 14  (56%)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decese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constatate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bonavii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COVID.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Dupa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excluderea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deceselor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infectati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coronavirus de tip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nou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rata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mortalității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intraspitalicești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redus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10,5%,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IMU.</w:t>
      </w:r>
      <w:r w:rsidRPr="00146829">
        <w:rPr>
          <w:rFonts w:ascii="Calibri" w:eastAsia="Calibri" w:hAnsi="Calibri" w:cs="Times New Roman"/>
          <w:lang w:val="fr-FR"/>
        </w:rPr>
        <w:t xml:space="preserve"> </w:t>
      </w:r>
      <w:r w:rsidRPr="00146829">
        <w:rPr>
          <w:rFonts w:ascii="Times New Roman" w:eastAsia="Calibri" w:hAnsi="Times New Roman" w:cs="Times New Roman"/>
          <w:sz w:val="24"/>
          <w:szCs w:val="24"/>
          <w:lang w:val="fr-FR"/>
        </w:rPr>
        <w:t>D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ebutul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simptomelor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sugestive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tromboemboliei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pulmonare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proofErr w:type="gram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cu</w:t>
      </w:r>
      <w:proofErr w:type="gram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10,5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pâna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spitalizare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variind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 pina la 45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zile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cca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1/3 din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pacienti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anchetați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vizitat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cel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putin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institutie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medicala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anterior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spitalizării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Valoarea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grup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scorului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Wells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3,8±1,09 p.,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scorului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Geneva 7,78 ±1,3 p.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Dupa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compararea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acestor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scoruri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lotul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general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studiu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observat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rata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predicție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scorului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Geneva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semnificativ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mare (46,2% vs 80,99%). 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Profilul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factorilor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ordinea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după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urmează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HTA 79 (65,2%) pts, IC, la 77 (63,6%) pts, FA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determinată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25(20,66%) pts, IM 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antecedente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notat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11(9%)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bolnavi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diabetul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zaharat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reprezentat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28 (23%)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TEV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antecedente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s-a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determinat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39 (32,2%)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5 din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grupul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covid,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imobilizării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indelungate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sevit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drept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factor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favorizant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37 (30,5%)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cazuri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mai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frecvent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intilnită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IMU (19/29 - 65%)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noncovid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și (9/17- 65,5%) cu covid, 32 (26,4%)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boală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varicoase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,20 (16,5%) pts - 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patologie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oncologică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21 (17,3%) - AVC ischemic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hemorgic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antecedente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22(18,1%)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boală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cronică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pulmonară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146829">
        <w:rPr>
          <w:rFonts w:ascii="Calibri" w:eastAsia="Calibri" w:hAnsi="Calibri" w:cs="Times New Roman"/>
          <w:lang w:val="en-US"/>
        </w:rPr>
        <w:t xml:space="preserve"> </w:t>
      </w:r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Din 104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pacienți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fara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covid 30 (28,8%) se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incadrau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vital major (o mare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parte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fiind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instabili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hemodinamic), 22 (21,1%)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grupul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intermediar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inalt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34(32,69%)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grupul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intermediar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redus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restul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18 (17,3%)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prezentau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vital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scazut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Analiza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ETT a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stabilit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semne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HTP:  </w:t>
      </w:r>
      <w:proofErr w:type="spellStart"/>
      <w:proofErr w:type="gram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severă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PSAP ≥55mmHg ) la  39 pts ( 57,3 %),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moderată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(PSAP ≥35-&lt;55mmHg) la 36,7%;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ușoară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(PSAP &lt;35mmHg) 5,9%.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Dilatarea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VD&gt;35mm,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ariei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AD&gt;18,0cm2,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hipokinezia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peretelui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liber al VD,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reducerea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indexul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TAPSE&lt;16,0mm,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creșterea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vitezei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jetului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regurgitare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tricuspidiană </w:t>
      </w:r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&gt;2,8m/sec,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diminuarea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indexului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S’m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tisular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VD &lt;9,5cm/sec,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raportul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TAPSE/PASP &lt;0,4 și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combinaţii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acestora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demonstrat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superioritate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predicția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rezultatului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advers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TEP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acută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înalt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intermediar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Perioada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urmarire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</w:t>
      </w:r>
      <w:proofErr w:type="spellStart"/>
      <w:proofErr w:type="gram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13</w:t>
      </w:r>
      <w:proofErr w:type="gram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,4±3,5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luni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Analiza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regresie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multivariată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demonstrat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diametrul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VD (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3,74 cm), PASP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medie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(66 ± 23 mm Hg),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hipokineza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VD,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prezența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trombilor VD,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scăderea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raportului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TAPSE/PASP &lt; 0,4 (0,038, 95% CI, , p&lt;0,0001)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măsurat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prin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echoCG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,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nivelul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d-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dimerului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la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momentul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inițial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3,6 ± 4,2 ng/mL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numărul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comorbidități (3,4 ± 0,7)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intrat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model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predicție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pronosticului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, pe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cînd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cancer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activ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istoricul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COVID,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asociate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un prognostic prost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pentru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PE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acută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pe termen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scurt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(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spital).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Analiza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regresie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Cox </w:t>
      </w:r>
      <w:proofErr w:type="gram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</w:t>
      </w:r>
      <w:proofErr w:type="gram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arătat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presiunea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sistolică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a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arterei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pulmonare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crescute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(PASP, </w:t>
      </w:r>
      <w:r w:rsidRPr="00146829">
        <w:rPr>
          <w:rFonts w:ascii="Cambria Math" w:eastAsia="Calibri" w:hAnsi="Cambria Math" w:cs="Cambria Math"/>
          <w:bCs/>
          <w:kern w:val="32"/>
          <w:sz w:val="24"/>
          <w:szCs w:val="24"/>
          <w:lang w:val="en-US"/>
        </w:rPr>
        <w:t>⩾</w:t>
      </w:r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55 mmHg) (HR = 6,240, 95% CI) și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cancerul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activ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PE (HR = 3,700, 95% CI) au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asociate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cu un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risc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crescut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mortalitate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pe termen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mediu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după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o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perioadă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</w:t>
      </w:r>
      <w:proofErr w:type="spellStart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urmărire</w:t>
      </w:r>
      <w:proofErr w:type="spellEnd"/>
      <w:r w:rsidRPr="00146829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 xml:space="preserve"> de 1 an.</w:t>
      </w:r>
    </w:p>
    <w:p w14:paraId="58F87212" w14:textId="77777777" w:rsidR="00BA4FF2" w:rsidRPr="00146829" w:rsidRDefault="00BA4FF2" w:rsidP="002D17AB">
      <w:pPr>
        <w:keepNext/>
        <w:spacing w:after="120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Datele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17AB">
        <w:rPr>
          <w:rFonts w:ascii="Times New Roman" w:eastAsia="Calibri" w:hAnsi="Times New Roman" w:cs="Times New Roman"/>
          <w:bCs/>
          <w:kern w:val="32"/>
          <w:sz w:val="24"/>
          <w:szCs w:val="24"/>
          <w:lang w:val="en-US"/>
        </w:rPr>
        <w:t>proiectului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publicate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fost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oglindite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pulicații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prezentate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 5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congrese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naționale</w:t>
      </w:r>
      <w:proofErr w:type="spellEnd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146829">
        <w:rPr>
          <w:rFonts w:ascii="Times New Roman" w:eastAsia="Calibri" w:hAnsi="Times New Roman" w:cs="Times New Roman"/>
          <w:sz w:val="24"/>
          <w:szCs w:val="24"/>
          <w:lang w:val="en-US"/>
        </w:rPr>
        <w:t>internaționale</w:t>
      </w:r>
      <w:proofErr w:type="spellEnd"/>
    </w:p>
    <w:p w14:paraId="4E3D0F2E" w14:textId="77777777" w:rsidR="000D26A1" w:rsidRPr="002D17AB" w:rsidRDefault="000D26A1">
      <w:pPr>
        <w:rPr>
          <w:rFonts w:ascii="Times New Roman" w:hAnsi="Times New Roman" w:cs="Times New Roman"/>
          <w:lang w:val="en-US"/>
        </w:rPr>
      </w:pPr>
    </w:p>
    <w:sectPr w:rsidR="000D26A1" w:rsidRPr="002D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685"/>
    <w:rsid w:val="000D26A1"/>
    <w:rsid w:val="001A5C76"/>
    <w:rsid w:val="002448C1"/>
    <w:rsid w:val="002D17AB"/>
    <w:rsid w:val="003224FD"/>
    <w:rsid w:val="00390079"/>
    <w:rsid w:val="00440685"/>
    <w:rsid w:val="00663E38"/>
    <w:rsid w:val="0077540C"/>
    <w:rsid w:val="00827587"/>
    <w:rsid w:val="009E40D3"/>
    <w:rsid w:val="009E4987"/>
    <w:rsid w:val="00A14CB3"/>
    <w:rsid w:val="00A448F7"/>
    <w:rsid w:val="00B357FF"/>
    <w:rsid w:val="00BA4FF2"/>
    <w:rsid w:val="00D9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FE25"/>
  <w15:docId w15:val="{5238DF42-7B9E-4601-A8DC-8F6ED15C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4413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Chislaru</cp:lastModifiedBy>
  <cp:revision>3</cp:revision>
  <dcterms:created xsi:type="dcterms:W3CDTF">2022-01-12T15:29:00Z</dcterms:created>
  <dcterms:modified xsi:type="dcterms:W3CDTF">2022-01-13T04:31:00Z</dcterms:modified>
</cp:coreProperties>
</file>