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A5C8" w14:textId="77777777" w:rsidR="001715BE" w:rsidRPr="00486954" w:rsidRDefault="001715BE" w:rsidP="001715BE">
      <w:pPr>
        <w:tabs>
          <w:tab w:val="left" w:pos="2940"/>
        </w:tabs>
        <w:spacing w:after="0" w:line="360" w:lineRule="auto"/>
        <w:jc w:val="center"/>
        <w:rPr>
          <w:rFonts w:ascii="Times New Roman" w:hAnsi="Times New Roman"/>
          <w:b/>
          <w:sz w:val="24"/>
          <w:szCs w:val="24"/>
          <w:lang w:val="ro-RO"/>
        </w:rPr>
      </w:pPr>
      <w:r w:rsidRPr="00486954">
        <w:rPr>
          <w:rFonts w:ascii="Times New Roman" w:hAnsi="Times New Roman"/>
          <w:b/>
          <w:sz w:val="24"/>
          <w:szCs w:val="24"/>
          <w:lang w:val="ro-RO"/>
        </w:rPr>
        <w:t>RAPORT ANUAL</w:t>
      </w:r>
    </w:p>
    <w:p w14:paraId="3919C632" w14:textId="77777777" w:rsidR="001715BE" w:rsidRPr="00486954" w:rsidRDefault="001715BE" w:rsidP="001715BE">
      <w:pPr>
        <w:tabs>
          <w:tab w:val="left" w:pos="2940"/>
        </w:tabs>
        <w:spacing w:after="0" w:line="360" w:lineRule="auto"/>
        <w:jc w:val="center"/>
        <w:rPr>
          <w:rFonts w:ascii="Times New Roman" w:hAnsi="Times New Roman"/>
          <w:b/>
          <w:sz w:val="24"/>
          <w:szCs w:val="24"/>
          <w:lang w:val="ro-RO"/>
        </w:rPr>
      </w:pPr>
      <w:r w:rsidRPr="00486954">
        <w:rPr>
          <w:rFonts w:ascii="Times New Roman" w:hAnsi="Times New Roman"/>
          <w:b/>
          <w:sz w:val="24"/>
          <w:szCs w:val="24"/>
          <w:lang w:val="ro-RO"/>
        </w:rPr>
        <w:t>privind implementarea proiectului din cadrul Programului de Stat (2020-2023)</w:t>
      </w:r>
    </w:p>
    <w:p w14:paraId="2CD52C28" w14:textId="77777777" w:rsidR="001715BE" w:rsidRPr="00486954" w:rsidRDefault="001715BE" w:rsidP="001715BE">
      <w:pPr>
        <w:pStyle w:val="Frspaiere"/>
        <w:jc w:val="center"/>
        <w:rPr>
          <w:rFonts w:ascii="Times New Roman" w:eastAsia="Calibri" w:hAnsi="Times New Roman" w:cs="Times New Roman"/>
          <w:b/>
          <w:lang w:eastAsia="en-US"/>
        </w:rPr>
      </w:pPr>
      <w:r w:rsidRPr="00486954">
        <w:rPr>
          <w:rFonts w:ascii="Times New Roman" w:hAnsi="Times New Roman" w:cs="Times New Roman"/>
          <w:b/>
        </w:rPr>
        <w:t>„</w:t>
      </w:r>
      <w:r w:rsidRPr="00486954">
        <w:rPr>
          <w:rFonts w:ascii="Times New Roman" w:eastAsia="+mn-ea" w:hAnsi="Times New Roman" w:cs="Times New Roman"/>
          <w:b/>
          <w:bCs/>
          <w:i/>
          <w:kern w:val="24"/>
        </w:rPr>
        <w:t>Cuantificarea riscului pentru sănătate, asociat expunerii la radiații ionizante, în contextul directivei EURATOM Nr.2013/59/”</w:t>
      </w:r>
      <w:r w:rsidRPr="00486954">
        <w:rPr>
          <w:rFonts w:ascii="Times New Roman" w:eastAsia="Calibri" w:hAnsi="Times New Roman" w:cs="Times New Roman"/>
          <w:lang w:eastAsia="en-US"/>
        </w:rPr>
        <w:t>,</w:t>
      </w:r>
      <w:r w:rsidRPr="00486954">
        <w:rPr>
          <w:rFonts w:ascii="Times New Roman" w:eastAsia="Calibri" w:hAnsi="Times New Roman" w:cs="Times New Roman"/>
          <w:b/>
          <w:lang w:eastAsia="en-US"/>
        </w:rPr>
        <w:t xml:space="preserve"> cifrul  </w:t>
      </w:r>
      <w:r w:rsidRPr="00486954">
        <w:rPr>
          <w:rFonts w:ascii="Times New Roman" w:hAnsi="Times New Roman" w:cs="Times New Roman"/>
          <w:b/>
        </w:rPr>
        <w:t>20.80009.8007.20</w:t>
      </w:r>
      <w:r w:rsidRPr="00486954">
        <w:rPr>
          <w:rFonts w:ascii="Times New Roman" w:eastAsia="Calibri" w:hAnsi="Times New Roman" w:cs="Times New Roman"/>
          <w:b/>
          <w:lang w:eastAsia="en-US"/>
        </w:rPr>
        <w:t xml:space="preserve"> </w:t>
      </w:r>
    </w:p>
    <w:p w14:paraId="090BB2A8" w14:textId="77777777" w:rsidR="001715BE" w:rsidRDefault="001715BE" w:rsidP="001715BE">
      <w:pPr>
        <w:tabs>
          <w:tab w:val="left" w:pos="2940"/>
        </w:tabs>
        <w:spacing w:after="0" w:line="360" w:lineRule="auto"/>
        <w:jc w:val="center"/>
        <w:rPr>
          <w:rFonts w:ascii="Times New Roman" w:hAnsi="Times New Roman"/>
          <w:b/>
          <w:i/>
          <w:sz w:val="28"/>
          <w:szCs w:val="28"/>
          <w:lang w:val="ro-RO"/>
        </w:rPr>
      </w:pPr>
    </w:p>
    <w:p w14:paraId="20D18C62" w14:textId="1BDC8598" w:rsidR="001715BE" w:rsidRPr="006A0ACF" w:rsidRDefault="000C262D" w:rsidP="000C262D">
      <w:pPr>
        <w:tabs>
          <w:tab w:val="left" w:pos="567"/>
          <w:tab w:val="left" w:pos="4180"/>
        </w:tabs>
        <w:spacing w:after="0" w:line="240" w:lineRule="auto"/>
        <w:jc w:val="both"/>
        <w:rPr>
          <w:rFonts w:ascii="Times New Roman" w:hAnsi="Times New Roman"/>
          <w:lang w:val="ro-RO"/>
        </w:rPr>
      </w:pPr>
      <w:r>
        <w:rPr>
          <w:rFonts w:ascii="Times New Roman" w:hAnsi="Times New Roman"/>
          <w:lang w:val="ro-RO" w:eastAsia="ru-RU"/>
        </w:rPr>
        <w:t xml:space="preserve">          </w:t>
      </w:r>
      <w:r w:rsidR="001715BE" w:rsidRPr="006A0ACF">
        <w:rPr>
          <w:rFonts w:ascii="Times New Roman" w:hAnsi="Times New Roman"/>
          <w:lang w:val="ro-RO" w:eastAsia="ru-RU"/>
        </w:rPr>
        <w:t>Cercetările s-au axat pe elucidarea</w:t>
      </w:r>
      <w:r w:rsidR="001715BE" w:rsidRPr="006A0ACF">
        <w:rPr>
          <w:rFonts w:ascii="Times New Roman" w:hAnsi="Times New Roman"/>
          <w:bCs/>
          <w:iCs/>
          <w:lang w:val="ro-RO" w:eastAsia="ru-RU"/>
        </w:rPr>
        <w:t xml:space="preserve"> efectelor tardive/ereditare ale radiației ionizante accidentale la grupul cu risc </w:t>
      </w:r>
      <w:r w:rsidR="001715BE" w:rsidRPr="000C262D">
        <w:rPr>
          <w:rFonts w:ascii="Times New Roman" w:eastAsia="Times New Roman" w:hAnsi="Times New Roman"/>
          <w:lang w:val="ro-RO" w:eastAsia="ru-RU"/>
        </w:rPr>
        <w:t>genetic</w:t>
      </w:r>
      <w:r w:rsidR="001715BE" w:rsidRPr="006A0ACF">
        <w:rPr>
          <w:rFonts w:ascii="Times New Roman" w:hAnsi="Times New Roman"/>
          <w:bCs/>
          <w:iCs/>
          <w:lang w:val="ro-RO" w:eastAsia="ru-RU"/>
        </w:rPr>
        <w:t xml:space="preserve"> major ─ descendenții ai PDCANC generația a II, la nivel celular și molecular. Astfel, </w:t>
      </w:r>
      <w:r w:rsidR="001715BE" w:rsidRPr="006A0ACF">
        <w:rPr>
          <w:rFonts w:ascii="Times New Roman" w:hAnsi="Times New Roman"/>
          <w:lang w:val="ro-RO"/>
        </w:rPr>
        <w:t xml:space="preserve">investigațiile imunologice </w:t>
      </w:r>
      <w:r w:rsidR="001715BE" w:rsidRPr="006A0ACF">
        <w:rPr>
          <w:rFonts w:ascii="Times New Roman" w:hAnsi="Times New Roman"/>
          <w:bCs/>
          <w:lang w:val="ro-RO"/>
        </w:rPr>
        <w:t>și a grupului martor prin metoda FlowCytometrie cu studierea markerilor de identificare a celulelor B- și T-limfocitare și anume: CD19 (B limfocite); CD3 (T-limfocite); CD4 (T-limfocite-helper); CD8 (T-limfocite killer/supresori); CD16+56 (T-kileri naturali) și a imunoglobulinelor (Ig) M, G, A, E au demonstrat statut imun mediu compromis la copiii PDCANC (IT=1,50±0,47), în comparație cu grupul martor (IT=2,28±0,57). S-a dovedit că acest coraport poate varia semnificativ (p&lt;0,05) în dependență de situația clinică a individului. Analiza IG sângelui în rândul subiecților cercetați a stabilit diferență între grupuri. Efectele genetico-moleculare la copii (n=50) au fost identificate prin c</w:t>
      </w:r>
      <w:r w:rsidR="001715BE" w:rsidRPr="006A0ACF">
        <w:rPr>
          <w:rFonts w:ascii="Times New Roman" w:hAnsi="Times New Roman"/>
          <w:lang w:val="ro-RO"/>
        </w:rPr>
        <w:t xml:space="preserve">uantificarea moleculelor de ADN TREC și KREC, utilizând metoda RT PCR în baza cărora a fost caracterizată starea de sănătate a copiilor incluși în studiu, inclusiv starea statutului imun. Compararea rezultatelor obținute cu normele pentru vârstele corespunzătoare (Gordukova M.A. et al, 2015) și cu rezultatele analizelor imunologice a demonstrat similitudine. </w:t>
      </w:r>
    </w:p>
    <w:p w14:paraId="22034BAB" w14:textId="77777777" w:rsidR="001715BE" w:rsidRPr="006A0ACF" w:rsidRDefault="001715BE" w:rsidP="001715BE">
      <w:pPr>
        <w:tabs>
          <w:tab w:val="left" w:pos="567"/>
          <w:tab w:val="left" w:pos="4180"/>
        </w:tabs>
        <w:spacing w:after="0" w:line="240" w:lineRule="auto"/>
        <w:jc w:val="both"/>
        <w:rPr>
          <w:rFonts w:ascii="Times New Roman" w:hAnsi="Times New Roman"/>
          <w:bCs/>
          <w:kern w:val="32"/>
          <w:lang w:val="ro-RO"/>
        </w:rPr>
      </w:pPr>
      <w:r w:rsidRPr="006A0ACF">
        <w:rPr>
          <w:rFonts w:ascii="Times New Roman" w:eastAsia="Times New Roman" w:hAnsi="Times New Roman"/>
          <w:lang w:val="ro-RO"/>
        </w:rPr>
        <w:tab/>
        <w:t xml:space="preserve">În vederea cuantificării radioactivității naturale pe teritoriul Republicii Moldova în a. 2021 </w:t>
      </w:r>
      <w:r w:rsidRPr="006A0ACF">
        <w:rPr>
          <w:rFonts w:ascii="Times New Roman" w:hAnsi="Times New Roman"/>
          <w:bCs/>
          <w:kern w:val="32"/>
          <w:lang w:val="ro-RO"/>
        </w:rPr>
        <w:t xml:space="preserve">au fost determinate </w:t>
      </w:r>
      <w:r w:rsidRPr="006A0ACF">
        <w:rPr>
          <w:rFonts w:ascii="Times New Roman" w:eastAsia="Times New Roman" w:hAnsi="Times New Roman"/>
          <w:lang w:val="ro-RO" w:eastAsia="ru-RU"/>
        </w:rPr>
        <w:t xml:space="preserve">concentrațiile de radon în aerul de interior: locuințe și clădiri publice (Instituții de educație timpurie și instituții de instruire gimnazială /liceală (IETIIGL). </w:t>
      </w:r>
      <w:r w:rsidRPr="006A0ACF">
        <w:rPr>
          <w:rFonts w:ascii="Times New Roman" w:eastAsia="Times New Roman" w:hAnsi="Times New Roman"/>
          <w:color w:val="000000"/>
          <w:lang w:val="ro-RO" w:eastAsia="ro-RO"/>
        </w:rPr>
        <w:t>Analiza statistică descriptivă a datelor în programul SPSS denotă o limită de variație a indicatorului: 17,37-</w:t>
      </w:r>
      <w:r w:rsidRPr="006A0ACF">
        <w:rPr>
          <w:rFonts w:ascii="Times New Roman" w:eastAsia="Times New Roman" w:hAnsi="Times New Roman"/>
          <w:bCs/>
          <w:color w:val="000000"/>
          <w:lang w:val="ro-RO" w:eastAsia="ro-RO"/>
        </w:rPr>
        <w:t>657,94</w:t>
      </w:r>
      <w:r w:rsidRPr="006A0ACF">
        <w:rPr>
          <w:rFonts w:ascii="Times New Roman" w:eastAsia="Times New Roman" w:hAnsi="Times New Roman"/>
          <w:color w:val="000000"/>
          <w:lang w:val="ro-RO" w:eastAsia="ro-RO"/>
        </w:rPr>
        <w:t xml:space="preserve"> 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bCs/>
          <w:color w:val="000000"/>
          <w:lang w:val="ro-RO" w:eastAsia="ro-RO"/>
        </w:rPr>
        <w:t xml:space="preserve"> pentru </w:t>
      </w:r>
      <w:r w:rsidRPr="006A0ACF">
        <w:rPr>
          <w:rFonts w:ascii="Times New Roman" w:eastAsia="Times New Roman" w:hAnsi="Times New Roman"/>
          <w:color w:val="000000"/>
          <w:lang w:val="ro-RO" w:eastAsia="ro-RO"/>
        </w:rPr>
        <w:t>Instituțiile de  educație timpurie</w:t>
      </w:r>
      <w:r w:rsidRPr="006A0ACF">
        <w:rPr>
          <w:rFonts w:ascii="Times New Roman" w:eastAsia="Times New Roman" w:hAnsi="Times New Roman"/>
          <w:bCs/>
          <w:color w:val="000000"/>
          <w:lang w:val="ro-RO" w:eastAsia="ro-RO"/>
        </w:rPr>
        <w:t xml:space="preserve"> (valoarea medie fiind 130,0</w:t>
      </w:r>
      <w:r w:rsidRPr="006A0ACF">
        <w:rPr>
          <w:rFonts w:ascii="Times New Roman" w:eastAsia="Times New Roman" w:hAnsi="Times New Roman"/>
          <w:color w:val="000000"/>
          <w:lang w:val="ro-RO" w:eastAsia="ro-RO"/>
        </w:rPr>
        <w:t>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bCs/>
          <w:color w:val="000000"/>
          <w:lang w:val="ro-RO" w:eastAsia="ro-RO"/>
        </w:rPr>
        <w:t>) și 231,8-1129,25</w:t>
      </w:r>
      <w:r w:rsidRPr="006A0ACF">
        <w:rPr>
          <w:rFonts w:ascii="Times New Roman" w:eastAsia="Times New Roman" w:hAnsi="Times New Roman"/>
          <w:color w:val="000000"/>
          <w:lang w:val="ro-RO" w:eastAsia="ro-RO"/>
        </w:rPr>
        <w:t>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bCs/>
          <w:color w:val="000000"/>
          <w:lang w:val="ro-RO" w:eastAsia="ro-RO"/>
        </w:rPr>
        <w:t xml:space="preserve"> (valoarea medie </w:t>
      </w:r>
      <w:r w:rsidRPr="006A0ACF">
        <w:rPr>
          <w:rFonts w:ascii="Times New Roman" w:hAnsi="Times New Roman"/>
          <w:lang w:val="ro-RO"/>
        </w:rPr>
        <w:t xml:space="preserve">– </w:t>
      </w:r>
      <w:r w:rsidRPr="006A0ACF">
        <w:rPr>
          <w:rFonts w:ascii="Times New Roman" w:hAnsi="Times New Roman"/>
          <w:bCs/>
          <w:color w:val="000000"/>
          <w:lang w:val="ro-RO"/>
        </w:rPr>
        <w:t>665,36</w:t>
      </w:r>
      <w:r w:rsidRPr="006A0ACF">
        <w:rPr>
          <w:rFonts w:ascii="Times New Roman" w:eastAsia="Times New Roman" w:hAnsi="Times New Roman"/>
          <w:color w:val="000000"/>
          <w:lang w:val="ro-RO" w:eastAsia="ro-RO"/>
        </w:rPr>
        <w:t xml:space="preserve"> Bq/m</w:t>
      </w:r>
      <w:r w:rsidRPr="006A0ACF">
        <w:rPr>
          <w:rFonts w:ascii="Times New Roman" w:eastAsia="Times New Roman" w:hAnsi="Times New Roman"/>
          <w:color w:val="000000"/>
          <w:vertAlign w:val="superscript"/>
          <w:lang w:val="ro-RO" w:eastAsia="ro-RO"/>
        </w:rPr>
        <w:t>3</w:t>
      </w:r>
      <w:r w:rsidRPr="006A0ACF">
        <w:rPr>
          <w:rFonts w:ascii="Times New Roman" w:hAnsi="Times New Roman"/>
          <w:bCs/>
          <w:color w:val="000000"/>
          <w:lang w:val="ro-RO"/>
        </w:rPr>
        <w:t xml:space="preserve">) </w:t>
      </w:r>
      <w:r w:rsidRPr="006A0ACF">
        <w:rPr>
          <w:rFonts w:ascii="Times New Roman" w:hAnsi="Times New Roman"/>
          <w:lang w:val="ro-RO"/>
        </w:rPr>
        <w:t xml:space="preserve">– </w:t>
      </w:r>
      <w:r w:rsidRPr="006A0ACF">
        <w:rPr>
          <w:rFonts w:ascii="Times New Roman" w:eastAsia="Times New Roman" w:hAnsi="Times New Roman"/>
          <w:bCs/>
          <w:color w:val="000000"/>
          <w:lang w:val="ro-RO" w:eastAsia="ro-RO"/>
        </w:rPr>
        <w:t xml:space="preserve">pentru </w:t>
      </w:r>
      <w:r w:rsidRPr="006A0ACF">
        <w:rPr>
          <w:rFonts w:ascii="Times New Roman" w:eastAsia="Times New Roman" w:hAnsi="Times New Roman"/>
          <w:color w:val="000000"/>
          <w:lang w:val="ro-RO" w:eastAsia="ro-RO"/>
        </w:rPr>
        <w:t>Instituțiile de instruire gimnazială/liceală. În aerul din locuințe indicele a variat în limitele 51,55-728,38 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color w:val="000000"/>
          <w:lang w:val="ro-RO" w:eastAsia="ro-RO"/>
        </w:rPr>
        <w:t xml:space="preserve">, valoarea medie constituind </w:t>
      </w:r>
      <w:r w:rsidRPr="006A0ACF">
        <w:rPr>
          <w:rFonts w:ascii="Times New Roman" w:eastAsia="Times New Roman" w:hAnsi="Times New Roman"/>
          <w:bCs/>
          <w:color w:val="000000"/>
          <w:lang w:val="ro-RO" w:eastAsia="ro-RO"/>
        </w:rPr>
        <w:t>242,37</w:t>
      </w:r>
      <w:r w:rsidRPr="006A0ACF">
        <w:rPr>
          <w:rFonts w:ascii="Times New Roman" w:eastAsia="Times New Roman" w:hAnsi="Times New Roman"/>
          <w:color w:val="000000"/>
          <w:lang w:val="ro-RO" w:eastAsia="ro-RO"/>
        </w:rPr>
        <w:t xml:space="preserve"> 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bCs/>
          <w:color w:val="000000"/>
          <w:lang w:val="ro-RO" w:eastAsia="ro-RO"/>
        </w:rPr>
        <w:t>. Pentru galeriile subterane de păstrare a vinurilor din Cricova și Mileștii Mici indicele a variat în limitele 26,61-813,8</w:t>
      </w:r>
      <w:r w:rsidRPr="006A0ACF">
        <w:rPr>
          <w:rFonts w:ascii="Times New Roman" w:eastAsia="Times New Roman" w:hAnsi="Times New Roman"/>
          <w:color w:val="000000"/>
          <w:lang w:val="ro-RO" w:eastAsia="ro-RO"/>
        </w:rPr>
        <w:t xml:space="preserve"> 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bCs/>
          <w:color w:val="000000"/>
          <w:lang w:val="ro-RO" w:eastAsia="ro-RO"/>
        </w:rPr>
        <w:t xml:space="preserve">, valoarea medie constituind 359,14 </w:t>
      </w:r>
      <w:r w:rsidRPr="006A0ACF">
        <w:rPr>
          <w:rFonts w:ascii="Times New Roman" w:eastAsia="Times New Roman" w:hAnsi="Times New Roman"/>
          <w:color w:val="000000"/>
          <w:lang w:val="ro-RO" w:eastAsia="ro-RO"/>
        </w:rPr>
        <w:t>Bq/m</w:t>
      </w:r>
      <w:r w:rsidRPr="006A0ACF">
        <w:rPr>
          <w:rFonts w:ascii="Times New Roman" w:eastAsia="Times New Roman" w:hAnsi="Times New Roman"/>
          <w:color w:val="000000"/>
          <w:vertAlign w:val="superscript"/>
          <w:lang w:val="ro-RO" w:eastAsia="ro-RO"/>
        </w:rPr>
        <w:t>3</w:t>
      </w:r>
      <w:r w:rsidRPr="006A0ACF">
        <w:rPr>
          <w:rFonts w:ascii="Times New Roman" w:eastAsia="Times New Roman" w:hAnsi="Times New Roman"/>
          <w:color w:val="000000"/>
          <w:lang w:val="ro-RO" w:eastAsia="ro-RO"/>
        </w:rPr>
        <w:t>. Totodată, s-a efectuat caracteristica generală a celor 2500 locuințe incluse în studiul național de măsurare a radonului prin metode pasive (Proiect MOL9007), în baza chestionarului completat de locatari. R</w:t>
      </w:r>
      <w:r w:rsidRPr="006A0ACF">
        <w:rPr>
          <w:rFonts w:ascii="Times New Roman" w:hAnsi="Times New Roman"/>
          <w:bCs/>
          <w:kern w:val="32"/>
          <w:lang w:val="ro-RO"/>
        </w:rPr>
        <w:t>ealizarea cercetărilor a permis reactualizarea bazei datelor ce reflectă concentrațiile de radon la care este expusă populația Republicii Moldova la radon, în diferite tipuri de locuințe și clădiri publice (IETIIGL), în arii rurale/urbane ale țării. Au fost obținute date noi referitor la argumentarea actualizării nivelului național de referință a radonului în locuințe (300 Bq/m</w:t>
      </w:r>
      <w:r w:rsidRPr="006A0ACF">
        <w:rPr>
          <w:rFonts w:ascii="Times New Roman" w:hAnsi="Times New Roman"/>
          <w:bCs/>
          <w:kern w:val="32"/>
          <w:vertAlign w:val="superscript"/>
          <w:lang w:val="ro-RO"/>
        </w:rPr>
        <w:t>3</w:t>
      </w:r>
      <w:r w:rsidRPr="006A0ACF">
        <w:rPr>
          <w:rFonts w:ascii="Times New Roman" w:hAnsi="Times New Roman"/>
          <w:bCs/>
          <w:kern w:val="32"/>
          <w:lang w:val="ro-RO"/>
        </w:rPr>
        <w:t xml:space="preserve">) în contextul directivei EURATOM nr.2013/59/. A fost stabilită variabilitatea radonului în aerul din locuințe pe teritoriul țării în funcție de tipul/geologia solului și implementate posibilităților de prevenire/diminuare a riscurilor expunerii sporite împreună cu susținerea interesului rezidenților în calitatea locuințelor. Au fost organizate măsuri de conștientizare generală, focalizate pe locuitorii țării, cu privire la riscul pentru sănătate cauzat de radiațiile ionizante naturale, inclusiv radonul: chestionarea populației vizavi de cunoștințele despre radon, inițierea elaborării Ghidului de comunicare a riscului expunerii la radon, care va fi parte componentă a implementării Strategiei Naționale a. 2021-2030, capitolul Sănătate Publică. Prin analiza </w:t>
      </w:r>
      <w:r w:rsidRPr="006A0ACF">
        <w:rPr>
          <w:rFonts w:ascii="Times New Roman" w:hAnsi="Times New Roman"/>
          <w:bCs/>
          <w:i/>
          <w:kern w:val="32"/>
          <w:lang w:val="ro-RO"/>
        </w:rPr>
        <w:t>clusteriană</w:t>
      </w:r>
      <w:r w:rsidRPr="006A0ACF">
        <w:rPr>
          <w:rFonts w:ascii="Times New Roman" w:hAnsi="Times New Roman"/>
          <w:bCs/>
          <w:kern w:val="32"/>
          <w:lang w:val="ro-RO"/>
        </w:rPr>
        <w:t xml:space="preserve"> a fost stabilită interacțiunea în cadrul relației ”</w:t>
      </w:r>
      <w:r w:rsidRPr="006A0ACF">
        <w:rPr>
          <w:rFonts w:ascii="Times New Roman" w:hAnsi="Times New Roman"/>
          <w:bCs/>
          <w:i/>
          <w:kern w:val="32"/>
          <w:lang w:val="ro-RO"/>
        </w:rPr>
        <w:t>concentrația radonului x incidența/prevalența afecțiunilor sistemului respirator, inclusiv a cancerului bronhopulmonar</w:t>
      </w:r>
      <w:r w:rsidRPr="006A0ACF">
        <w:rPr>
          <w:rFonts w:ascii="Times New Roman" w:hAnsi="Times New Roman"/>
          <w:bCs/>
          <w:kern w:val="32"/>
          <w:lang w:val="ro-RO"/>
        </w:rPr>
        <w:t xml:space="preserve">”. </w:t>
      </w:r>
    </w:p>
    <w:p w14:paraId="737A9E35" w14:textId="77777777" w:rsidR="001715BE" w:rsidRDefault="001715BE" w:rsidP="000C262D">
      <w:pPr>
        <w:tabs>
          <w:tab w:val="left" w:pos="567"/>
          <w:tab w:val="left" w:pos="4180"/>
        </w:tabs>
        <w:spacing w:after="0" w:line="240" w:lineRule="auto"/>
        <w:jc w:val="both"/>
        <w:rPr>
          <w:rFonts w:ascii="Times New Roman" w:hAnsi="Times New Roman"/>
          <w:sz w:val="28"/>
          <w:szCs w:val="28"/>
          <w:lang w:val="ro-RO"/>
        </w:rPr>
      </w:pPr>
      <w:r w:rsidRPr="006A0ACF">
        <w:rPr>
          <w:rFonts w:ascii="Times New Roman" w:hAnsi="Times New Roman"/>
          <w:lang w:val="ro-RO"/>
        </w:rPr>
        <w:t xml:space="preserve">       În baza investigațiilor spectrometrice a circa 200 probe de </w:t>
      </w:r>
      <w:r w:rsidRPr="006A0ACF">
        <w:rPr>
          <w:rFonts w:ascii="Times New Roman" w:eastAsia="Times New Roman" w:hAnsi="Times New Roman"/>
          <w:lang w:val="ro-RO" w:eastAsia="ru-RU"/>
        </w:rPr>
        <w:t>materiale de construcții autohtone și de import</w:t>
      </w:r>
      <w:r w:rsidRPr="006A0ACF">
        <w:rPr>
          <w:rFonts w:ascii="Times New Roman" w:eastAsia="Times New Roman" w:hAnsi="Times New Roman"/>
          <w:bCs/>
          <w:lang w:val="ro-RO" w:eastAsia="ru-RU"/>
        </w:rPr>
        <w:t xml:space="preserve"> </w:t>
      </w:r>
      <w:r w:rsidRPr="006A0ACF">
        <w:rPr>
          <w:rFonts w:ascii="Times New Roman" w:eastAsia="Times New Roman" w:hAnsi="Times New Roman"/>
          <w:lang w:val="ro-RO" w:eastAsia="ru-RU"/>
        </w:rPr>
        <w:t xml:space="preserve">au fost identificate concentrațiile radionuclizilor naturali </w:t>
      </w:r>
      <w:r w:rsidRPr="006A0ACF">
        <w:rPr>
          <w:rFonts w:ascii="Times New Roman" w:eastAsia="Times New Roman" w:hAnsi="Times New Roman"/>
          <w:vertAlign w:val="superscript"/>
          <w:lang w:val="ro-RO" w:eastAsia="ru-RU"/>
        </w:rPr>
        <w:t>226</w:t>
      </w:r>
      <w:r w:rsidRPr="006A0ACF">
        <w:rPr>
          <w:rFonts w:ascii="Times New Roman" w:eastAsia="Times New Roman" w:hAnsi="Times New Roman"/>
          <w:lang w:val="ro-RO" w:eastAsia="ru-RU"/>
        </w:rPr>
        <w:t xml:space="preserve">Ra, </w:t>
      </w:r>
      <w:r w:rsidRPr="006A0ACF">
        <w:rPr>
          <w:rFonts w:ascii="Times New Roman" w:eastAsia="Times New Roman" w:hAnsi="Times New Roman"/>
          <w:vertAlign w:val="superscript"/>
          <w:lang w:val="ro-RO" w:eastAsia="ru-RU"/>
        </w:rPr>
        <w:t>232</w:t>
      </w:r>
      <w:r w:rsidRPr="006A0ACF">
        <w:rPr>
          <w:rFonts w:ascii="Times New Roman" w:eastAsia="Times New Roman" w:hAnsi="Times New Roman"/>
          <w:lang w:val="ro-RO" w:eastAsia="ru-RU"/>
        </w:rPr>
        <w:t xml:space="preserve">Th, </w:t>
      </w:r>
      <w:r w:rsidRPr="006A0ACF">
        <w:rPr>
          <w:rFonts w:ascii="Times New Roman" w:eastAsia="Times New Roman" w:hAnsi="Times New Roman"/>
          <w:vertAlign w:val="superscript"/>
          <w:lang w:val="ro-RO" w:eastAsia="ru-RU"/>
        </w:rPr>
        <w:t>40</w:t>
      </w:r>
      <w:r w:rsidRPr="006A0ACF">
        <w:rPr>
          <w:rFonts w:ascii="Times New Roman" w:eastAsia="Times New Roman" w:hAnsi="Times New Roman"/>
          <w:lang w:val="ro-RO" w:eastAsia="ru-RU"/>
        </w:rPr>
        <w:t xml:space="preserve">K etc. și tehnogeni </w:t>
      </w:r>
      <w:r w:rsidRPr="006A0ACF">
        <w:rPr>
          <w:rFonts w:ascii="Times New Roman" w:eastAsia="Times New Roman" w:hAnsi="Times New Roman"/>
          <w:vertAlign w:val="superscript"/>
          <w:lang w:val="ro-RO" w:eastAsia="ru-RU"/>
        </w:rPr>
        <w:t>137</w:t>
      </w:r>
      <w:r w:rsidRPr="006A0ACF">
        <w:rPr>
          <w:rFonts w:ascii="Times New Roman" w:eastAsia="Times New Roman" w:hAnsi="Times New Roman"/>
          <w:lang w:val="ro-RO" w:eastAsia="ru-RU"/>
        </w:rPr>
        <w:t xml:space="preserve">Cs, </w:t>
      </w:r>
      <w:r w:rsidRPr="006A0ACF">
        <w:rPr>
          <w:rFonts w:ascii="Times New Roman" w:eastAsia="Times New Roman" w:hAnsi="Times New Roman"/>
          <w:vertAlign w:val="superscript"/>
          <w:lang w:val="ro-RO" w:eastAsia="ru-RU"/>
        </w:rPr>
        <w:t>90</w:t>
      </w:r>
      <w:r w:rsidRPr="006A0ACF">
        <w:rPr>
          <w:rFonts w:ascii="Times New Roman" w:eastAsia="Times New Roman" w:hAnsi="Times New Roman"/>
          <w:lang w:val="ro-RO" w:eastAsia="ru-RU"/>
        </w:rPr>
        <w:t xml:space="preserve">Sr. </w:t>
      </w:r>
      <w:r w:rsidRPr="006A0ACF">
        <w:rPr>
          <w:rFonts w:ascii="Times New Roman" w:hAnsi="Times New Roman"/>
          <w:lang w:val="ro-RO"/>
        </w:rPr>
        <w:t xml:space="preserve">Rezultatele demonstrează că valoarea max a activității specifice efective (Aeff.) a variat în limitele </w:t>
      </w:r>
      <w:r w:rsidRPr="006A0ACF">
        <w:rPr>
          <w:rFonts w:ascii="Times New Roman" w:eastAsia="Times New Roman" w:hAnsi="Times New Roman"/>
          <w:lang w:val="ro-RO" w:eastAsia="ru-RU"/>
        </w:rPr>
        <w:t xml:space="preserve">51,2 </w:t>
      </w:r>
      <w:r w:rsidRPr="006A0ACF">
        <w:rPr>
          <w:rFonts w:ascii="Times New Roman" w:hAnsi="Times New Roman"/>
          <w:bCs/>
          <w:kern w:val="32"/>
          <w:lang w:val="ro-RO"/>
        </w:rPr>
        <w:t>Bq/kg</w:t>
      </w:r>
      <w:r w:rsidRPr="006A0ACF">
        <w:rPr>
          <w:rFonts w:ascii="Times New Roman" w:eastAsia="Times New Roman" w:hAnsi="Times New Roman"/>
          <w:lang w:val="ro-RO" w:eastAsia="ru-RU"/>
        </w:rPr>
        <w:t xml:space="preserve"> (metale) </w:t>
      </w:r>
      <w:r w:rsidRPr="006A0ACF">
        <w:rPr>
          <w:rFonts w:ascii="Times New Roman" w:hAnsi="Times New Roman"/>
          <w:lang w:val="ro-RO"/>
        </w:rPr>
        <w:t>–</w:t>
      </w:r>
      <w:r w:rsidRPr="006A0ACF">
        <w:rPr>
          <w:rFonts w:ascii="Times New Roman" w:eastAsia="Times New Roman" w:hAnsi="Times New Roman"/>
          <w:lang w:val="ro-RO" w:eastAsia="ru-RU"/>
        </w:rPr>
        <w:t xml:space="preserve"> 460</w:t>
      </w:r>
      <w:r w:rsidRPr="006A0ACF">
        <w:rPr>
          <w:rFonts w:ascii="Times New Roman" w:hAnsi="Times New Roman"/>
          <w:bCs/>
          <w:kern w:val="32"/>
          <w:lang w:val="ro-RO"/>
        </w:rPr>
        <w:t xml:space="preserve"> Bq/kg</w:t>
      </w:r>
      <w:r w:rsidRPr="006A0ACF">
        <w:rPr>
          <w:rFonts w:ascii="Times New Roman" w:eastAsia="Times New Roman" w:hAnsi="Times New Roman"/>
          <w:lang w:val="ro-RO" w:eastAsia="ru-RU"/>
        </w:rPr>
        <w:t xml:space="preserve"> (Plăci ceramică). </w:t>
      </w:r>
      <w:r w:rsidRPr="006A0ACF">
        <w:rPr>
          <w:rFonts w:ascii="Times New Roman" w:eastAsia="Times New Roman" w:hAnsi="Times New Roman"/>
          <w:bCs/>
          <w:color w:val="000000"/>
          <w:lang w:val="ro-RO" w:eastAsia="ru-RU"/>
        </w:rPr>
        <w:t xml:space="preserve">Valoarea medie a activității </w:t>
      </w:r>
      <w:r w:rsidRPr="006A0ACF">
        <w:rPr>
          <w:rFonts w:ascii="Times New Roman" w:hAnsi="Times New Roman"/>
          <w:bCs/>
          <w:lang w:val="ro-RO"/>
        </w:rPr>
        <w:t>Cs</w:t>
      </w:r>
      <w:r w:rsidRPr="006A0ACF">
        <w:rPr>
          <w:rFonts w:ascii="Times New Roman" w:hAnsi="Times New Roman"/>
          <w:bCs/>
          <w:vertAlign w:val="superscript"/>
          <w:lang w:val="ro-RO"/>
        </w:rPr>
        <w:t>137</w:t>
      </w:r>
      <w:r w:rsidRPr="006A0ACF">
        <w:rPr>
          <w:rFonts w:ascii="Times New Roman" w:hAnsi="Times New Roman"/>
          <w:bCs/>
          <w:lang w:val="ro-RO"/>
        </w:rPr>
        <w:t xml:space="preserve"> și Sr</w:t>
      </w:r>
      <w:r w:rsidRPr="006A0ACF">
        <w:rPr>
          <w:rFonts w:ascii="Times New Roman" w:hAnsi="Times New Roman"/>
          <w:bCs/>
          <w:vertAlign w:val="superscript"/>
          <w:lang w:val="ro-RO"/>
        </w:rPr>
        <w:t>90</w:t>
      </w:r>
      <w:r w:rsidRPr="006A0ACF">
        <w:rPr>
          <w:rFonts w:ascii="Times New Roman" w:hAnsi="Times New Roman"/>
          <w:bCs/>
          <w:lang w:val="ro-RO"/>
        </w:rPr>
        <w:t xml:space="preserve"> în a</w:t>
      </w:r>
      <w:r w:rsidRPr="006A0ACF">
        <w:rPr>
          <w:rFonts w:ascii="Times New Roman" w:eastAsia="Times New Roman" w:hAnsi="Times New Roman"/>
          <w:lang w:val="ro-RO" w:eastAsia="ru-RU"/>
        </w:rPr>
        <w:t>rticole din lemn și produse forestiere</w:t>
      </w:r>
      <w:r w:rsidRPr="006A0ACF">
        <w:rPr>
          <w:rFonts w:ascii="Times New Roman" w:eastAsia="Times New Roman" w:hAnsi="Times New Roman"/>
          <w:bCs/>
          <w:color w:val="000000"/>
          <w:lang w:val="ro-RO" w:eastAsia="ru-RU"/>
        </w:rPr>
        <w:t>, a constituit respectiv 0, 6 și 23,3 Bq/kg, ceea ce corespunde normelor naționale.</w:t>
      </w:r>
      <w:r w:rsidRPr="006A0ACF">
        <w:rPr>
          <w:rFonts w:ascii="Times New Roman" w:hAnsi="Times New Roman"/>
          <w:bCs/>
          <w:kern w:val="32"/>
          <w:lang w:val="ro-RO"/>
        </w:rPr>
        <w:t xml:space="preserve"> Cercetările în cauză au demonstrat că radioactivitatea naturală în majoritatea materialelor de construcție cercetate nu a depășit CMA conform normelor naționale (300Bq/m</w:t>
      </w:r>
      <w:r w:rsidRPr="006A0ACF">
        <w:rPr>
          <w:rFonts w:ascii="Times New Roman" w:hAnsi="Times New Roman"/>
          <w:bCs/>
          <w:kern w:val="32"/>
          <w:vertAlign w:val="superscript"/>
          <w:lang w:val="ro-RO"/>
        </w:rPr>
        <w:t>3</w:t>
      </w:r>
      <w:r w:rsidRPr="006A0ACF">
        <w:rPr>
          <w:rFonts w:ascii="Times New Roman" w:hAnsi="Times New Roman"/>
          <w:bCs/>
          <w:kern w:val="32"/>
          <w:lang w:val="ro-RO"/>
        </w:rPr>
        <w:t xml:space="preserve">), cu excepția probelor „plăci ceramice” unde Aeff. a constituit </w:t>
      </w:r>
      <w:r w:rsidRPr="006A0ACF">
        <w:rPr>
          <w:rFonts w:ascii="Times New Roman" w:eastAsia="Times New Roman" w:hAnsi="Times New Roman"/>
          <w:lang w:val="ro-RO" w:eastAsia="ru-RU"/>
        </w:rPr>
        <w:t>460</w:t>
      </w:r>
      <w:r w:rsidRPr="006A0ACF">
        <w:rPr>
          <w:rFonts w:ascii="Times New Roman" w:hAnsi="Times New Roman"/>
          <w:bCs/>
          <w:kern w:val="32"/>
          <w:lang w:val="ro-RO"/>
        </w:rPr>
        <w:t xml:space="preserve"> Bq/kg. Totodată, r</w:t>
      </w:r>
      <w:r w:rsidRPr="006A0ACF">
        <w:rPr>
          <w:rFonts w:ascii="Times New Roman" w:hAnsi="Times New Roman"/>
          <w:lang w:val="ro-RO"/>
        </w:rPr>
        <w:t>ezultatele denotă radioactivitate sporită pentru cinci probe de cărămidă refractară, Aeff. constituind 1024-1721 Bq/kg (articolele în cauză se referă la clasa III de clasificare a materialelor de construcție (≤ 1350 Bq/kg). În restul probelor Aeff era mai mic decât 300 Bq/kg, ceea ce demonstrează că aceste materiale se referă la clasa I de clasificare a materialelor de construcție (bune pentru construcția clădirilor, cele din clasa III se recomandă să fie utilizate doar pentru construcția drumurilor).</w:t>
      </w:r>
    </w:p>
    <w:p w14:paraId="42145535" w14:textId="77777777" w:rsidR="000D26A1" w:rsidRPr="001715BE" w:rsidRDefault="000D26A1">
      <w:pPr>
        <w:rPr>
          <w:lang w:val="ro-RO"/>
        </w:rPr>
      </w:pPr>
    </w:p>
    <w:sectPr w:rsidR="000D26A1" w:rsidRPr="00171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98"/>
    <w:rsid w:val="000C262D"/>
    <w:rsid w:val="000D26A1"/>
    <w:rsid w:val="001715BE"/>
    <w:rsid w:val="001A5C76"/>
    <w:rsid w:val="002448C1"/>
    <w:rsid w:val="003224FD"/>
    <w:rsid w:val="00390079"/>
    <w:rsid w:val="00663E38"/>
    <w:rsid w:val="0077540C"/>
    <w:rsid w:val="00827587"/>
    <w:rsid w:val="009E40D3"/>
    <w:rsid w:val="009E4987"/>
    <w:rsid w:val="00A14CB3"/>
    <w:rsid w:val="00A448F7"/>
    <w:rsid w:val="00AD1898"/>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0FE3"/>
  <w15:docId w15:val="{A8538706-7E66-4BE9-A5D4-114896B2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BE"/>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1715BE"/>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4496</Characters>
  <Application>Microsoft Office Word</Application>
  <DocSecurity>0</DocSecurity>
  <Lines>37</Lines>
  <Paragraphs>10</Paragraphs>
  <ScaleCrop>false</ScaleCrop>
  <Company>SPecialiST RePack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2022-01-12T15:18:00Z</dcterms:created>
  <dcterms:modified xsi:type="dcterms:W3CDTF">2022-01-13T04:30:00Z</dcterms:modified>
</cp:coreProperties>
</file>