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45118B" w:rsidRDefault="004D7191" w:rsidP="0045118B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</w:tc>
      </w:tr>
    </w:tbl>
    <w:p w:rsidR="00D85E1A" w:rsidRDefault="00D85E1A" w:rsidP="00D85E1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D85E1A" w:rsidRDefault="00D85E1A" w:rsidP="0045118B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D85E1A" w:rsidRDefault="00D85E1A" w:rsidP="00D85E1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D85E1A" w:rsidRDefault="00D85E1A" w:rsidP="00D85E1A">
      <w:pPr>
        <w:spacing w:line="120" w:lineRule="exact"/>
        <w:rPr>
          <w:sz w:val="24"/>
          <w:szCs w:val="24"/>
          <w:lang w:val="ro-RO"/>
        </w:rPr>
      </w:pPr>
    </w:p>
    <w:p w:rsidR="00EF1B8C" w:rsidRPr="00196A20" w:rsidRDefault="00D85E1A" w:rsidP="00A57A8D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45764E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45118B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603288" w:rsidRPr="00804E25">
        <w:rPr>
          <w:sz w:val="24"/>
          <w:szCs w:val="24"/>
          <w:lang w:val="ro-RO"/>
        </w:rPr>
        <w:t>15.817.02.32A</w:t>
      </w:r>
      <w:r w:rsidR="0045118B">
        <w:rPr>
          <w:sz w:val="24"/>
          <w:szCs w:val="24"/>
          <w:lang w:val="ro-RO"/>
        </w:rPr>
        <w:t xml:space="preserve"> </w:t>
      </w:r>
      <w:r w:rsidR="00603288" w:rsidRPr="00804E25">
        <w:rPr>
          <w:sz w:val="24"/>
          <w:szCs w:val="24"/>
          <w:lang w:val="ro-RO"/>
        </w:rPr>
        <w:t>Studiul materialelor semiconductoare și elaborarea dispozitivelor micro-optoelectronice pentru aplicații avansate</w:t>
      </w:r>
      <w:r w:rsidR="00603288">
        <w:rPr>
          <w:sz w:val="24"/>
          <w:szCs w:val="24"/>
          <w:lang w:val="ro-RO"/>
        </w:rPr>
        <w:t xml:space="preserve">, </w:t>
      </w:r>
      <w:r w:rsidR="00603288" w:rsidRPr="00233CED">
        <w:rPr>
          <w:sz w:val="24"/>
          <w:szCs w:val="24"/>
          <w:lang w:val="ro-RO"/>
        </w:rPr>
        <w:t xml:space="preserve">director proiect </w:t>
      </w:r>
      <w:r w:rsidR="00603288" w:rsidRPr="00FB4438">
        <w:rPr>
          <w:sz w:val="24"/>
          <w:szCs w:val="24"/>
          <w:lang w:val="ro-RO"/>
        </w:rPr>
        <w:t xml:space="preserve">dr. </w:t>
      </w:r>
      <w:proofErr w:type="spellStart"/>
      <w:r w:rsidR="00603288" w:rsidRPr="00FB4438">
        <w:rPr>
          <w:sz w:val="24"/>
          <w:szCs w:val="24"/>
          <w:lang w:val="ro-RO"/>
        </w:rPr>
        <w:t>hab</w:t>
      </w:r>
      <w:proofErr w:type="spellEnd"/>
      <w:r w:rsidR="00603288" w:rsidRPr="00FB4438">
        <w:rPr>
          <w:sz w:val="24"/>
          <w:szCs w:val="24"/>
          <w:lang w:val="ro-RO"/>
        </w:rPr>
        <w:t xml:space="preserve">. </w:t>
      </w:r>
      <w:r w:rsidR="00603288">
        <w:rPr>
          <w:sz w:val="24"/>
          <w:szCs w:val="24"/>
          <w:lang w:val="ro-RO"/>
        </w:rPr>
        <w:t>SÎRBU</w:t>
      </w:r>
      <w:r w:rsidR="00603288" w:rsidRPr="00FB4438">
        <w:rPr>
          <w:sz w:val="24"/>
          <w:szCs w:val="24"/>
          <w:lang w:val="ro-RO"/>
        </w:rPr>
        <w:t xml:space="preserve"> Nicolae</w:t>
      </w:r>
      <w:r w:rsidR="006A49D0">
        <w:rPr>
          <w:sz w:val="24"/>
          <w:szCs w:val="24"/>
          <w:lang w:val="ro-RO"/>
        </w:rPr>
        <w:t xml:space="preserve">, </w:t>
      </w:r>
      <w:r w:rsidR="005A63B2">
        <w:rPr>
          <w:sz w:val="24"/>
          <w:szCs w:val="24"/>
          <w:lang w:val="ro-RO"/>
        </w:rPr>
        <w:t>Universitate</w:t>
      </w:r>
      <w:r w:rsidR="00D54CEA">
        <w:rPr>
          <w:sz w:val="24"/>
          <w:szCs w:val="24"/>
          <w:lang w:val="ro-RO"/>
        </w:rPr>
        <w:t>a</w:t>
      </w:r>
      <w:r w:rsidR="0045118B">
        <w:rPr>
          <w:sz w:val="24"/>
          <w:szCs w:val="24"/>
          <w:lang w:val="ro-RO"/>
        </w:rPr>
        <w:t xml:space="preserve"> </w:t>
      </w:r>
      <w:r w:rsidR="00603288">
        <w:rPr>
          <w:sz w:val="24"/>
          <w:szCs w:val="24"/>
          <w:lang w:val="ro-RO"/>
        </w:rPr>
        <w:t>Tehnică a</w:t>
      </w:r>
      <w:r w:rsidR="005A63B2">
        <w:rPr>
          <w:sz w:val="24"/>
          <w:szCs w:val="24"/>
          <w:lang w:val="ro-RO"/>
        </w:rPr>
        <w:t xml:space="preserve"> Moldov</w:t>
      </w:r>
      <w:r w:rsidR="00603288">
        <w:rPr>
          <w:sz w:val="24"/>
          <w:szCs w:val="24"/>
          <w:lang w:val="ro-RO"/>
        </w:rPr>
        <w:t>ei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2E6A01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2E6A0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2E6A0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45118B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2E6A01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593CB9" w:rsidRDefault="00C25CD9" w:rsidP="002E6A01">
      <w:pPr>
        <w:ind w:firstLine="567"/>
        <w:jc w:val="both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45118B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45118B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9C470F">
        <w:rPr>
          <w:sz w:val="24"/>
          <w:szCs w:val="24"/>
          <w:lang w:val="ro-RO"/>
        </w:rPr>
        <w:t>înaltă</w:t>
      </w:r>
      <w:r w:rsidR="005063B9" w:rsidRPr="009C470F">
        <w:rPr>
          <w:sz w:val="24"/>
          <w:szCs w:val="24"/>
          <w:lang w:val="ro-RO"/>
        </w:rPr>
        <w:t>”</w:t>
      </w:r>
      <w:r w:rsidR="00C47239" w:rsidRPr="009C470F">
        <w:rPr>
          <w:sz w:val="24"/>
          <w:szCs w:val="24"/>
          <w:lang w:val="ro-RO"/>
        </w:rPr>
        <w:t>.</w:t>
      </w:r>
    </w:p>
    <w:p w:rsidR="00A65058" w:rsidRPr="00EE0FB0" w:rsidRDefault="00EE0FB0" w:rsidP="002E6A01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D4504B" w:rsidRPr="00B91F38">
        <w:rPr>
          <w:sz w:val="24"/>
          <w:szCs w:val="24"/>
          <w:lang w:val="ro-RO"/>
        </w:rPr>
        <w:t xml:space="preserve"> fost </w:t>
      </w:r>
      <w:r>
        <w:rPr>
          <w:sz w:val="24"/>
          <w:szCs w:val="24"/>
          <w:lang w:val="ro-RO"/>
        </w:rPr>
        <w:t xml:space="preserve">evidențiată anizotropia spectrelor de reflexie șiabsorbție optică </w:t>
      </w:r>
      <w:r w:rsidR="00D4504B" w:rsidRPr="00EE0FB0">
        <w:rPr>
          <w:sz w:val="24"/>
          <w:szCs w:val="24"/>
          <w:lang w:val="ro-RO"/>
        </w:rPr>
        <w:t>a cristalelor de ZnAl</w:t>
      </w:r>
      <w:r w:rsidR="00D4504B" w:rsidRPr="00EE0FB0">
        <w:rPr>
          <w:sz w:val="24"/>
          <w:szCs w:val="24"/>
          <w:vertAlign w:val="subscript"/>
          <w:lang w:val="ro-RO"/>
        </w:rPr>
        <w:t>2</w:t>
      </w:r>
      <w:r w:rsidR="00D4504B" w:rsidRPr="00EE0FB0">
        <w:rPr>
          <w:sz w:val="24"/>
          <w:szCs w:val="24"/>
          <w:lang w:val="ro-RO"/>
        </w:rPr>
        <w:t>Se</w:t>
      </w:r>
      <w:r w:rsidR="00D4504B" w:rsidRPr="00EE0FB0">
        <w:rPr>
          <w:sz w:val="24"/>
          <w:szCs w:val="24"/>
          <w:vertAlign w:val="subscript"/>
          <w:lang w:val="ro-RO"/>
        </w:rPr>
        <w:t>4</w:t>
      </w:r>
      <w:r w:rsidR="00D4504B" w:rsidRPr="00EE0FB0">
        <w:rPr>
          <w:sz w:val="24"/>
          <w:szCs w:val="24"/>
          <w:lang w:val="ro-RO"/>
        </w:rPr>
        <w:t xml:space="preserve"> dopat cu cobalt</w:t>
      </w:r>
      <w:r>
        <w:rPr>
          <w:sz w:val="24"/>
          <w:szCs w:val="24"/>
          <w:lang w:val="ro-RO"/>
        </w:rPr>
        <w:t>, în baza căreia au fost</w:t>
      </w:r>
      <w:r w:rsidR="0045118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elaborate</w:t>
      </w:r>
      <w:r w:rsidR="00D4504B" w:rsidRPr="00EE0FB0">
        <w:rPr>
          <w:sz w:val="24"/>
          <w:szCs w:val="24"/>
          <w:lang w:val="ro-RO"/>
        </w:rPr>
        <w:t xml:space="preserve"> filtre de bandă îngustă pentru diferite lungimi de undă</w:t>
      </w:r>
      <w:r w:rsidR="001D5F7F" w:rsidRPr="00EE0FB0">
        <w:rPr>
          <w:sz w:val="24"/>
          <w:szCs w:val="24"/>
          <w:lang w:val="ro-RO"/>
        </w:rPr>
        <w:t>.</w:t>
      </w:r>
    </w:p>
    <w:p w:rsidR="00A76C00" w:rsidRDefault="00A76C00" w:rsidP="002E6A01">
      <w:pPr>
        <w:spacing w:line="120" w:lineRule="exact"/>
        <w:ind w:left="567"/>
        <w:jc w:val="both"/>
        <w:rPr>
          <w:sz w:val="24"/>
          <w:szCs w:val="24"/>
          <w:lang w:val="ro-RO"/>
        </w:rPr>
      </w:pPr>
    </w:p>
    <w:p w:rsidR="007C1FE8" w:rsidRPr="00802546" w:rsidRDefault="00801E12" w:rsidP="002E6A01">
      <w:pPr>
        <w:ind w:firstLine="567"/>
        <w:jc w:val="both"/>
        <w:rPr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3E17CB" w:rsidRPr="00802546">
        <w:rPr>
          <w:sz w:val="24"/>
          <w:szCs w:val="24"/>
          <w:lang w:val="ro-RO"/>
        </w:rPr>
        <w:t>în</w:t>
      </w:r>
      <w:r w:rsidR="0045118B">
        <w:rPr>
          <w:sz w:val="24"/>
          <w:szCs w:val="24"/>
          <w:lang w:val="ro-RO"/>
        </w:rPr>
        <w:t xml:space="preserve"> </w:t>
      </w:r>
      <w:r w:rsidR="001450F0">
        <w:rPr>
          <w:bCs/>
          <w:sz w:val="24"/>
          <w:szCs w:val="24"/>
          <w:lang w:val="ro-RO"/>
        </w:rPr>
        <w:t>6</w:t>
      </w:r>
      <w:r w:rsidR="003B3B30" w:rsidRPr="00802546">
        <w:rPr>
          <w:bCs/>
          <w:sz w:val="24"/>
          <w:szCs w:val="24"/>
          <w:lang w:val="ro-RO"/>
        </w:rPr>
        <w:t xml:space="preserve"> articole </w:t>
      </w:r>
      <w:r w:rsidR="003B3B30" w:rsidRPr="00802546">
        <w:rPr>
          <w:sz w:val="24"/>
          <w:szCs w:val="24"/>
          <w:lang w:val="ro-RO"/>
        </w:rPr>
        <w:t xml:space="preserve">în reviste cu impact factor, </w:t>
      </w:r>
      <w:r w:rsidR="001450F0">
        <w:rPr>
          <w:bCs/>
          <w:sz w:val="24"/>
          <w:szCs w:val="24"/>
          <w:lang w:val="ro-RO"/>
        </w:rPr>
        <w:t>3</w:t>
      </w:r>
      <w:r w:rsidR="003B3B30" w:rsidRPr="00802546">
        <w:rPr>
          <w:bCs/>
          <w:sz w:val="24"/>
          <w:szCs w:val="24"/>
          <w:lang w:val="ro-RO"/>
        </w:rPr>
        <w:t xml:space="preserve"> articole </w:t>
      </w:r>
      <w:r w:rsidR="006A7FFA">
        <w:rPr>
          <w:sz w:val="24"/>
          <w:szCs w:val="24"/>
          <w:lang w:val="ro-RO"/>
        </w:rPr>
        <w:t xml:space="preserve">în culegeri și </w:t>
      </w:r>
      <w:r w:rsidR="001450F0">
        <w:rPr>
          <w:sz w:val="24"/>
          <w:szCs w:val="24"/>
          <w:lang w:val="ro-RO"/>
        </w:rPr>
        <w:t xml:space="preserve">3 </w:t>
      </w:r>
      <w:r w:rsidR="0091507A">
        <w:rPr>
          <w:sz w:val="24"/>
          <w:szCs w:val="24"/>
          <w:lang w:val="ro-RO"/>
        </w:rPr>
        <w:t xml:space="preserve">tezela </w:t>
      </w:r>
      <w:r w:rsidR="003B3B30" w:rsidRPr="00802546">
        <w:rPr>
          <w:sz w:val="24"/>
          <w:szCs w:val="24"/>
          <w:lang w:val="ro-RO"/>
        </w:rPr>
        <w:t>conferinţe</w:t>
      </w:r>
      <w:r w:rsidR="001C45CB">
        <w:rPr>
          <w:sz w:val="24"/>
          <w:szCs w:val="24"/>
          <w:lang w:val="ro-RO"/>
        </w:rPr>
        <w:t>.</w:t>
      </w:r>
    </w:p>
    <w:p w:rsidR="007C1FE8" w:rsidRDefault="007C1FE8" w:rsidP="002E6A01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6A21DB" w:rsidRPr="0014518F" w:rsidRDefault="007C1FE8" w:rsidP="002E6A0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99716A">
        <w:rPr>
          <w:sz w:val="24"/>
          <w:szCs w:val="24"/>
          <w:lang w:val="ro-RO"/>
        </w:rPr>
        <w:t>.</w:t>
      </w:r>
      <w:r w:rsidR="0014518F">
        <w:rPr>
          <w:sz w:val="24"/>
          <w:szCs w:val="24"/>
          <w:lang w:val="ro-RO"/>
        </w:rPr>
        <w:t xml:space="preserve"> Dispozitivul </w:t>
      </w:r>
      <w:r w:rsidR="0014518F" w:rsidRPr="0014518F">
        <w:rPr>
          <w:sz w:val="24"/>
          <w:szCs w:val="24"/>
          <w:lang w:val="ro-RO"/>
        </w:rPr>
        <w:t>pentru epurarea gazelor de eșapament de tip electrostatic,</w:t>
      </w:r>
      <w:r w:rsidR="0014518F">
        <w:rPr>
          <w:sz w:val="24"/>
          <w:szCs w:val="24"/>
          <w:lang w:val="ro-RO"/>
        </w:rPr>
        <w:t xml:space="preserve"> elaborat</w:t>
      </w:r>
      <w:r w:rsidR="0014518F" w:rsidRPr="0014518F">
        <w:rPr>
          <w:sz w:val="24"/>
          <w:szCs w:val="24"/>
          <w:lang w:val="ro-RO"/>
        </w:rPr>
        <w:t xml:space="preserve"> în cadrul proiectului </w:t>
      </w:r>
      <w:r w:rsidR="0014518F">
        <w:rPr>
          <w:sz w:val="24"/>
          <w:szCs w:val="24"/>
          <w:lang w:val="ro-RO"/>
        </w:rPr>
        <w:t xml:space="preserve">poate fi </w:t>
      </w:r>
      <w:r w:rsidR="0014518F" w:rsidRPr="0014518F">
        <w:rPr>
          <w:sz w:val="24"/>
          <w:szCs w:val="24"/>
          <w:lang w:val="ro-RO"/>
        </w:rPr>
        <w:t xml:space="preserve"> integrat în sistemul EGR al motorului Diesel. Prototipul de laborator </w:t>
      </w:r>
      <w:r w:rsidR="006A21DB">
        <w:rPr>
          <w:sz w:val="24"/>
          <w:szCs w:val="24"/>
          <w:lang w:val="ro-RO"/>
        </w:rPr>
        <w:t>este dirijat</w:t>
      </w:r>
      <w:r w:rsidR="0014518F" w:rsidRPr="0014518F">
        <w:rPr>
          <w:sz w:val="24"/>
          <w:szCs w:val="24"/>
          <w:lang w:val="ro-RO"/>
        </w:rPr>
        <w:t xml:space="preserve"> de sistemul </w:t>
      </w:r>
      <w:proofErr w:type="spellStart"/>
      <w:r w:rsidR="0014518F" w:rsidRPr="0014518F">
        <w:rPr>
          <w:sz w:val="24"/>
          <w:szCs w:val="24"/>
          <w:lang w:val="ro-RO"/>
        </w:rPr>
        <w:t>mecatronic</w:t>
      </w:r>
      <w:proofErr w:type="spellEnd"/>
      <w:r w:rsidR="0014518F" w:rsidRPr="0014518F">
        <w:rPr>
          <w:sz w:val="24"/>
          <w:szCs w:val="24"/>
          <w:lang w:val="ro-RO"/>
        </w:rPr>
        <w:t xml:space="preserve"> integrat</w:t>
      </w:r>
      <w:r w:rsidR="006A21DB">
        <w:rPr>
          <w:sz w:val="24"/>
          <w:szCs w:val="24"/>
          <w:lang w:val="ro-RO"/>
        </w:rPr>
        <w:t>, ceea</w:t>
      </w:r>
      <w:r w:rsidR="0014518F" w:rsidRPr="0014518F">
        <w:rPr>
          <w:sz w:val="24"/>
          <w:szCs w:val="24"/>
          <w:lang w:val="ro-RO"/>
        </w:rPr>
        <w:t xml:space="preserve"> ce asigură o performanţă înaltă ecologică ş</w:t>
      </w:r>
      <w:r w:rsidR="006A21DB">
        <w:rPr>
          <w:sz w:val="24"/>
          <w:szCs w:val="24"/>
          <w:lang w:val="ro-RO"/>
        </w:rPr>
        <w:t>i economică a motorului Diesel.</w:t>
      </w:r>
    </w:p>
    <w:p w:rsidR="00B073AB" w:rsidRPr="002D781F" w:rsidRDefault="00B073AB" w:rsidP="002E6A01">
      <w:pPr>
        <w:spacing w:line="120" w:lineRule="exact"/>
        <w:jc w:val="both"/>
        <w:rPr>
          <w:sz w:val="24"/>
          <w:szCs w:val="24"/>
          <w:lang w:val="ro-RO"/>
        </w:rPr>
      </w:pPr>
    </w:p>
    <w:p w:rsidR="00FD3581" w:rsidRDefault="009F27B7" w:rsidP="002E6A0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9403AC">
        <w:rPr>
          <w:sz w:val="24"/>
          <w:szCs w:val="24"/>
          <w:lang w:val="ro-RO"/>
        </w:rPr>
        <w:t>suficientă, din personalul științific de 10 cercetători, 3 sunt tineri</w:t>
      </w:r>
      <w:r w:rsidR="0031459C">
        <w:rPr>
          <w:sz w:val="24"/>
          <w:szCs w:val="24"/>
          <w:lang w:val="ro-RO"/>
        </w:rPr>
        <w:t>.</w:t>
      </w:r>
    </w:p>
    <w:p w:rsidR="00FD3581" w:rsidRDefault="00FD3581" w:rsidP="002E6A01">
      <w:pPr>
        <w:spacing w:line="120" w:lineRule="exact"/>
        <w:ind w:firstLine="567"/>
        <w:jc w:val="both"/>
        <w:rPr>
          <w:b/>
          <w:bCs/>
          <w:sz w:val="24"/>
          <w:szCs w:val="24"/>
          <w:lang w:val="en-US"/>
        </w:rPr>
      </w:pPr>
    </w:p>
    <w:p w:rsidR="00140236" w:rsidRDefault="00E74B2F" w:rsidP="002E6A0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140236">
        <w:rPr>
          <w:sz w:val="24"/>
          <w:szCs w:val="24"/>
          <w:lang w:val="ro-RO"/>
        </w:rPr>
        <w:t>pozitivă</w:t>
      </w:r>
      <w:r w:rsidR="00177FA9">
        <w:rPr>
          <w:sz w:val="24"/>
          <w:szCs w:val="24"/>
          <w:lang w:val="ro-RO"/>
        </w:rPr>
        <w:t>,</w:t>
      </w:r>
      <w:r w:rsidR="00140236">
        <w:rPr>
          <w:sz w:val="24"/>
          <w:szCs w:val="24"/>
          <w:lang w:val="ro-RO"/>
        </w:rPr>
        <w:t xml:space="preserve"> au fost </w:t>
      </w:r>
      <w:r w:rsidR="00177FA9">
        <w:rPr>
          <w:sz w:val="24"/>
          <w:szCs w:val="24"/>
          <w:lang w:val="ro-RO"/>
        </w:rPr>
        <w:t xml:space="preserve">continuate colaborări </w:t>
      </w:r>
      <w:r w:rsidR="00140236">
        <w:rPr>
          <w:sz w:val="24"/>
          <w:szCs w:val="24"/>
          <w:lang w:val="ro-RO"/>
        </w:rPr>
        <w:t>internaționale cu cercetători din Elveția, Ucraina și Belarus.</w:t>
      </w:r>
    </w:p>
    <w:p w:rsidR="00050159" w:rsidRPr="00C012D3" w:rsidRDefault="00050159" w:rsidP="00BB21BA">
      <w:pPr>
        <w:tabs>
          <w:tab w:val="num" w:pos="720"/>
        </w:tabs>
        <w:spacing w:line="120" w:lineRule="exact"/>
        <w:jc w:val="both"/>
        <w:rPr>
          <w:rFonts w:eastAsiaTheme="minorEastAsia"/>
          <w:bCs/>
          <w:color w:val="000000"/>
          <w:sz w:val="24"/>
          <w:szCs w:val="24"/>
          <w:lang w:val="ro-RO" w:eastAsia="en-US"/>
        </w:rPr>
      </w:pPr>
    </w:p>
    <w:p w:rsidR="0045118B" w:rsidRDefault="0045118B" w:rsidP="0045118B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45118B" w:rsidRDefault="0045118B" w:rsidP="0045118B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E55581" w:rsidRDefault="004F3B9E" w:rsidP="002E6A0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</w:t>
      </w:r>
      <w:r w:rsidR="00DE6189">
        <w:rPr>
          <w:sz w:val="24"/>
          <w:szCs w:val="24"/>
          <w:lang w:val="ro-RO"/>
        </w:rPr>
        <w:t xml:space="preserve"> </w:t>
      </w:r>
      <w:r w:rsidR="00EA7324">
        <w:rPr>
          <w:sz w:val="24"/>
          <w:szCs w:val="24"/>
          <w:lang w:val="ro-RO"/>
        </w:rPr>
        <w:t>a</w:t>
      </w:r>
      <w:r w:rsidR="00E55581">
        <w:rPr>
          <w:sz w:val="24"/>
          <w:szCs w:val="24"/>
          <w:lang w:val="ro-RO"/>
        </w:rPr>
        <w:t>u</w:t>
      </w:r>
      <w:r w:rsidR="00CF669D" w:rsidRPr="00CF669D">
        <w:rPr>
          <w:sz w:val="24"/>
          <w:szCs w:val="24"/>
          <w:lang w:val="ro-RO"/>
        </w:rPr>
        <w:t xml:space="preserve"> fost </w:t>
      </w:r>
      <w:r w:rsidR="00EA7324" w:rsidRPr="002B41E0">
        <w:rPr>
          <w:sz w:val="24"/>
          <w:szCs w:val="24"/>
          <w:lang w:val="ro-RO"/>
        </w:rPr>
        <w:t>utilizat</w:t>
      </w:r>
      <w:r w:rsidR="00E55581">
        <w:rPr>
          <w:sz w:val="24"/>
          <w:szCs w:val="24"/>
          <w:lang w:val="ro-RO"/>
        </w:rPr>
        <w:t>e o serie de spectrometre optice și lasere performante.</w:t>
      </w:r>
    </w:p>
    <w:p w:rsidR="002B41E0" w:rsidRPr="002B41E0" w:rsidRDefault="002B41E0" w:rsidP="0045118B">
      <w:pPr>
        <w:spacing w:line="120" w:lineRule="exact"/>
        <w:rPr>
          <w:sz w:val="24"/>
          <w:szCs w:val="24"/>
          <w:lang w:val="en-US"/>
        </w:rPr>
      </w:pPr>
    </w:p>
    <w:p w:rsidR="00585F89" w:rsidRDefault="00585F89" w:rsidP="00585F8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al Secției</w:t>
      </w:r>
    </w:p>
    <w:p w:rsidR="00585F89" w:rsidRDefault="00585F89" w:rsidP="00585F8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Științe Exacte și Inginerești,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Svetlana Cojocaru</w:t>
      </w:r>
    </w:p>
    <w:p w:rsidR="00585F89" w:rsidRDefault="00585F89" w:rsidP="00585F89">
      <w:pPr>
        <w:rPr>
          <w:b/>
          <w:sz w:val="24"/>
          <w:szCs w:val="24"/>
          <w:lang w:val="ro-RO"/>
        </w:rPr>
      </w:pPr>
    </w:p>
    <w:p w:rsidR="000A1E09" w:rsidRPr="00DE6189" w:rsidRDefault="00585F89" w:rsidP="00585F89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Secției, </w:t>
      </w: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bookmarkStart w:id="0" w:name="_GoBack"/>
      <w:bookmarkEnd w:id="0"/>
      <w:r>
        <w:rPr>
          <w:color w:val="000000" w:themeColor="text1"/>
          <w:sz w:val="24"/>
          <w:szCs w:val="24"/>
          <w:lang w:val="ro-RO" w:eastAsia="en-US"/>
        </w:rPr>
        <w:t xml:space="preserve">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sectPr w:rsidR="000A1E09" w:rsidRPr="00DE6189" w:rsidSect="00F20F25">
      <w:footerReference w:type="default" r:id="rId8"/>
      <w:pgSz w:w="11906" w:h="16838"/>
      <w:pgMar w:top="568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84" w:rsidRDefault="000F0F84" w:rsidP="007204DD">
      <w:r>
        <w:separator/>
      </w:r>
    </w:p>
  </w:endnote>
  <w:endnote w:type="continuationSeparator" w:id="1">
    <w:p w:rsidR="000F0F84" w:rsidRDefault="000F0F84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D" w:rsidRDefault="007204DD">
    <w:pPr>
      <w:pStyle w:val="Footer"/>
      <w:jc w:val="right"/>
    </w:pPr>
  </w:p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84" w:rsidRDefault="000F0F84" w:rsidP="007204DD">
      <w:r>
        <w:separator/>
      </w:r>
    </w:p>
  </w:footnote>
  <w:footnote w:type="continuationSeparator" w:id="1">
    <w:p w:rsidR="000F0F84" w:rsidRDefault="000F0F84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30D6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0159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2CC"/>
    <w:rsid w:val="000A1E09"/>
    <w:rsid w:val="000A2634"/>
    <w:rsid w:val="000A4C53"/>
    <w:rsid w:val="000B3FDC"/>
    <w:rsid w:val="000B4DCB"/>
    <w:rsid w:val="000C24BA"/>
    <w:rsid w:val="000C7487"/>
    <w:rsid w:val="000C7802"/>
    <w:rsid w:val="000D0A2F"/>
    <w:rsid w:val="000D1340"/>
    <w:rsid w:val="000D5382"/>
    <w:rsid w:val="000D5E7C"/>
    <w:rsid w:val="000F0F84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0236"/>
    <w:rsid w:val="00141178"/>
    <w:rsid w:val="001439C1"/>
    <w:rsid w:val="001450F0"/>
    <w:rsid w:val="0014518F"/>
    <w:rsid w:val="00145335"/>
    <w:rsid w:val="00145EC0"/>
    <w:rsid w:val="00150033"/>
    <w:rsid w:val="0016342C"/>
    <w:rsid w:val="0016762C"/>
    <w:rsid w:val="00171E84"/>
    <w:rsid w:val="00172FCF"/>
    <w:rsid w:val="00177FA9"/>
    <w:rsid w:val="00182F9E"/>
    <w:rsid w:val="00184971"/>
    <w:rsid w:val="001945EA"/>
    <w:rsid w:val="00196835"/>
    <w:rsid w:val="00196A20"/>
    <w:rsid w:val="001A00FF"/>
    <w:rsid w:val="001A36C7"/>
    <w:rsid w:val="001A686C"/>
    <w:rsid w:val="001A7F20"/>
    <w:rsid w:val="001B2786"/>
    <w:rsid w:val="001B7F7B"/>
    <w:rsid w:val="001C04AD"/>
    <w:rsid w:val="001C0F5E"/>
    <w:rsid w:val="001C45CB"/>
    <w:rsid w:val="001D2C8F"/>
    <w:rsid w:val="001D458E"/>
    <w:rsid w:val="001D5F7F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71E82"/>
    <w:rsid w:val="002743AD"/>
    <w:rsid w:val="002746C1"/>
    <w:rsid w:val="00275280"/>
    <w:rsid w:val="00280673"/>
    <w:rsid w:val="0028170B"/>
    <w:rsid w:val="002A2AB6"/>
    <w:rsid w:val="002A4D41"/>
    <w:rsid w:val="002A7497"/>
    <w:rsid w:val="002B41E0"/>
    <w:rsid w:val="002B56CC"/>
    <w:rsid w:val="002B6D36"/>
    <w:rsid w:val="002C2E26"/>
    <w:rsid w:val="002D3F76"/>
    <w:rsid w:val="002D4C4A"/>
    <w:rsid w:val="002D6279"/>
    <w:rsid w:val="002D663B"/>
    <w:rsid w:val="002D781F"/>
    <w:rsid w:val="002D79DB"/>
    <w:rsid w:val="002E2469"/>
    <w:rsid w:val="002E277A"/>
    <w:rsid w:val="002E6A01"/>
    <w:rsid w:val="002F2364"/>
    <w:rsid w:val="002F559B"/>
    <w:rsid w:val="00310CA5"/>
    <w:rsid w:val="0031459C"/>
    <w:rsid w:val="00317B92"/>
    <w:rsid w:val="00322382"/>
    <w:rsid w:val="00326F11"/>
    <w:rsid w:val="00337FF2"/>
    <w:rsid w:val="00352AF2"/>
    <w:rsid w:val="003530BD"/>
    <w:rsid w:val="00355317"/>
    <w:rsid w:val="0035608F"/>
    <w:rsid w:val="00360D8E"/>
    <w:rsid w:val="003622AF"/>
    <w:rsid w:val="00363188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046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524A"/>
    <w:rsid w:val="00423BA4"/>
    <w:rsid w:val="00424972"/>
    <w:rsid w:val="00424CD8"/>
    <w:rsid w:val="00427969"/>
    <w:rsid w:val="004318AB"/>
    <w:rsid w:val="00435001"/>
    <w:rsid w:val="0044251E"/>
    <w:rsid w:val="00446580"/>
    <w:rsid w:val="00446E15"/>
    <w:rsid w:val="0045118B"/>
    <w:rsid w:val="00453F5C"/>
    <w:rsid w:val="0045764E"/>
    <w:rsid w:val="004606D2"/>
    <w:rsid w:val="004627A2"/>
    <w:rsid w:val="00482434"/>
    <w:rsid w:val="00482470"/>
    <w:rsid w:val="00491DA2"/>
    <w:rsid w:val="00491EFB"/>
    <w:rsid w:val="00496B7C"/>
    <w:rsid w:val="004A0A3D"/>
    <w:rsid w:val="004A1F71"/>
    <w:rsid w:val="004A4DF5"/>
    <w:rsid w:val="004B60E7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76880"/>
    <w:rsid w:val="00585F89"/>
    <w:rsid w:val="00586C36"/>
    <w:rsid w:val="00590390"/>
    <w:rsid w:val="00592ABB"/>
    <w:rsid w:val="00593CB9"/>
    <w:rsid w:val="005A3D28"/>
    <w:rsid w:val="005A3DC7"/>
    <w:rsid w:val="005A63B2"/>
    <w:rsid w:val="005A6ED1"/>
    <w:rsid w:val="005B369E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3288"/>
    <w:rsid w:val="00605700"/>
    <w:rsid w:val="00611274"/>
    <w:rsid w:val="00615D68"/>
    <w:rsid w:val="00615E7B"/>
    <w:rsid w:val="00624380"/>
    <w:rsid w:val="00624886"/>
    <w:rsid w:val="0062503D"/>
    <w:rsid w:val="006344E6"/>
    <w:rsid w:val="00635C26"/>
    <w:rsid w:val="006369EF"/>
    <w:rsid w:val="00637D5E"/>
    <w:rsid w:val="00640613"/>
    <w:rsid w:val="006409BF"/>
    <w:rsid w:val="0064307A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97DEB"/>
    <w:rsid w:val="006A21DB"/>
    <w:rsid w:val="006A49D0"/>
    <w:rsid w:val="006A59FC"/>
    <w:rsid w:val="006A7FFA"/>
    <w:rsid w:val="006B29EC"/>
    <w:rsid w:val="006C09FD"/>
    <w:rsid w:val="006C22EC"/>
    <w:rsid w:val="006C42B2"/>
    <w:rsid w:val="006D686B"/>
    <w:rsid w:val="006E3519"/>
    <w:rsid w:val="006E3957"/>
    <w:rsid w:val="006E4BA7"/>
    <w:rsid w:val="006E5A61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842E4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3E3E"/>
    <w:rsid w:val="007F4985"/>
    <w:rsid w:val="007F600B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35BB6"/>
    <w:rsid w:val="00844B93"/>
    <w:rsid w:val="00845549"/>
    <w:rsid w:val="0084650A"/>
    <w:rsid w:val="00847D74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B2D18"/>
    <w:rsid w:val="008B3018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07EA2"/>
    <w:rsid w:val="00911DDC"/>
    <w:rsid w:val="0091507A"/>
    <w:rsid w:val="00921177"/>
    <w:rsid w:val="00924F90"/>
    <w:rsid w:val="009253AF"/>
    <w:rsid w:val="009269C5"/>
    <w:rsid w:val="009403AC"/>
    <w:rsid w:val="00940AFD"/>
    <w:rsid w:val="00941823"/>
    <w:rsid w:val="00955206"/>
    <w:rsid w:val="00964C67"/>
    <w:rsid w:val="00971164"/>
    <w:rsid w:val="00974397"/>
    <w:rsid w:val="00974A0C"/>
    <w:rsid w:val="009756B7"/>
    <w:rsid w:val="009815F1"/>
    <w:rsid w:val="00981803"/>
    <w:rsid w:val="0098757A"/>
    <w:rsid w:val="00987E80"/>
    <w:rsid w:val="00996881"/>
    <w:rsid w:val="0099716A"/>
    <w:rsid w:val="009A303D"/>
    <w:rsid w:val="009A79DC"/>
    <w:rsid w:val="009B3849"/>
    <w:rsid w:val="009B5226"/>
    <w:rsid w:val="009B578C"/>
    <w:rsid w:val="009B661A"/>
    <w:rsid w:val="009B776B"/>
    <w:rsid w:val="009B7837"/>
    <w:rsid w:val="009B7C9C"/>
    <w:rsid w:val="009C315A"/>
    <w:rsid w:val="009C470F"/>
    <w:rsid w:val="009C48FF"/>
    <w:rsid w:val="009C5EE0"/>
    <w:rsid w:val="009D26AB"/>
    <w:rsid w:val="009D3999"/>
    <w:rsid w:val="009D4A93"/>
    <w:rsid w:val="009D5760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57A8D"/>
    <w:rsid w:val="00A6074D"/>
    <w:rsid w:val="00A65058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6B8D"/>
    <w:rsid w:val="00A87613"/>
    <w:rsid w:val="00A909EC"/>
    <w:rsid w:val="00A93C43"/>
    <w:rsid w:val="00AA24B9"/>
    <w:rsid w:val="00AC1479"/>
    <w:rsid w:val="00AC5F38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21BA"/>
    <w:rsid w:val="00BB4003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0DF3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376B9"/>
    <w:rsid w:val="00D415ED"/>
    <w:rsid w:val="00D423AB"/>
    <w:rsid w:val="00D42BCF"/>
    <w:rsid w:val="00D4504B"/>
    <w:rsid w:val="00D50C6C"/>
    <w:rsid w:val="00D50E73"/>
    <w:rsid w:val="00D53571"/>
    <w:rsid w:val="00D53592"/>
    <w:rsid w:val="00D54CEA"/>
    <w:rsid w:val="00D569CE"/>
    <w:rsid w:val="00D57396"/>
    <w:rsid w:val="00D606CF"/>
    <w:rsid w:val="00D60B4A"/>
    <w:rsid w:val="00D7292D"/>
    <w:rsid w:val="00D85E1A"/>
    <w:rsid w:val="00D8688D"/>
    <w:rsid w:val="00D9025F"/>
    <w:rsid w:val="00D917AA"/>
    <w:rsid w:val="00D97038"/>
    <w:rsid w:val="00DB3185"/>
    <w:rsid w:val="00DB7190"/>
    <w:rsid w:val="00DC58B5"/>
    <w:rsid w:val="00DD5333"/>
    <w:rsid w:val="00DD7DFB"/>
    <w:rsid w:val="00DE35E2"/>
    <w:rsid w:val="00DE6189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9F3"/>
    <w:rsid w:val="00E526A2"/>
    <w:rsid w:val="00E55581"/>
    <w:rsid w:val="00E56E73"/>
    <w:rsid w:val="00E622CD"/>
    <w:rsid w:val="00E64874"/>
    <w:rsid w:val="00E6720A"/>
    <w:rsid w:val="00E71CB3"/>
    <w:rsid w:val="00E74B2F"/>
    <w:rsid w:val="00E75446"/>
    <w:rsid w:val="00E82208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C4D84"/>
    <w:rsid w:val="00ED536F"/>
    <w:rsid w:val="00ED7259"/>
    <w:rsid w:val="00EE0FB0"/>
    <w:rsid w:val="00EE136A"/>
    <w:rsid w:val="00EE1A51"/>
    <w:rsid w:val="00EF1A04"/>
    <w:rsid w:val="00EF1B8C"/>
    <w:rsid w:val="00EF5A11"/>
    <w:rsid w:val="00F02EA7"/>
    <w:rsid w:val="00F07200"/>
    <w:rsid w:val="00F15AD5"/>
    <w:rsid w:val="00F20F25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269</cp:revision>
  <cp:lastPrinted>2016-04-12T06:18:00Z</cp:lastPrinted>
  <dcterms:created xsi:type="dcterms:W3CDTF">2019-05-05T13:45:00Z</dcterms:created>
  <dcterms:modified xsi:type="dcterms:W3CDTF">2020-03-18T08:17:00Z</dcterms:modified>
</cp:coreProperties>
</file>