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111A57">
        <w:rPr>
          <w:sz w:val="24"/>
          <w:szCs w:val="24"/>
          <w:lang w:val="ro-RO"/>
        </w:rPr>
        <w:t>2</w:t>
      </w:r>
      <w:r w:rsidR="006C5F37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6C5F37">
        <w:rPr>
          <w:sz w:val="24"/>
          <w:szCs w:val="24"/>
          <w:lang w:val="ro-RO"/>
        </w:rPr>
        <w:t xml:space="preserve"> </w:t>
      </w:r>
      <w:r w:rsidR="00111A57">
        <w:rPr>
          <w:sz w:val="24"/>
          <w:szCs w:val="24"/>
          <w:lang w:val="ro-RO"/>
        </w:rPr>
        <w:t>martie</w:t>
      </w:r>
      <w:r w:rsidR="006C5F37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111A57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DF1A47" w:rsidRPr="00EB6549" w:rsidRDefault="00EF1B8C" w:rsidP="00EF1B8C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111A57">
        <w:rPr>
          <w:sz w:val="24"/>
          <w:szCs w:val="24"/>
          <w:lang w:val="ro-RO"/>
        </w:rPr>
        <w:t>Cojocaru Svetlana</w:t>
      </w:r>
      <w:r w:rsidR="00DF1A47" w:rsidRPr="00EB6549">
        <w:rPr>
          <w:sz w:val="24"/>
          <w:szCs w:val="24"/>
          <w:lang w:val="ro-RO"/>
        </w:rPr>
        <w:t xml:space="preserve">, </w:t>
      </w:r>
      <w:r w:rsidR="00111A57">
        <w:rPr>
          <w:sz w:val="24"/>
          <w:szCs w:val="24"/>
          <w:lang w:val="ro-RO"/>
        </w:rPr>
        <w:t>m. c</w:t>
      </w:r>
      <w:r w:rsidR="00DF1A47" w:rsidRPr="00EB6549">
        <w:rPr>
          <w:sz w:val="24"/>
          <w:szCs w:val="24"/>
          <w:lang w:val="ro-RO"/>
        </w:rPr>
        <w:t>. – conducător secție</w:t>
      </w:r>
      <w:r w:rsidR="00C92529">
        <w:rPr>
          <w:sz w:val="24"/>
          <w:szCs w:val="24"/>
          <w:lang w:val="ro-RO"/>
        </w:rPr>
        <w:t xml:space="preserve">, </w:t>
      </w:r>
      <w:r w:rsidR="00111A57">
        <w:rPr>
          <w:sz w:val="24"/>
          <w:szCs w:val="24"/>
          <w:lang w:val="ro-RO"/>
        </w:rPr>
        <w:t>vice</w:t>
      </w:r>
      <w:r w:rsidR="00C92529">
        <w:rPr>
          <w:sz w:val="24"/>
          <w:szCs w:val="24"/>
          <w:lang w:val="ro-RO"/>
        </w:rPr>
        <w:t>președinte AȘM</w:t>
      </w:r>
      <w:r w:rsidR="000F4F2D" w:rsidRPr="00EB6549">
        <w:rPr>
          <w:sz w:val="24"/>
          <w:szCs w:val="24"/>
          <w:lang w:val="ro-RO"/>
        </w:rPr>
        <w:t>;</w:t>
      </w:r>
      <w:r w:rsidR="006C5F37">
        <w:rPr>
          <w:sz w:val="24"/>
          <w:szCs w:val="24"/>
          <w:lang w:val="ro-RO"/>
        </w:rPr>
        <w:t xml:space="preserve"> </w:t>
      </w:r>
      <w:r w:rsidRPr="00EB6549">
        <w:rPr>
          <w:sz w:val="24"/>
          <w:szCs w:val="24"/>
          <w:lang w:val="ro-RO"/>
        </w:rPr>
        <w:t xml:space="preserve">Ursachi </w:t>
      </w:r>
      <w:proofErr w:type="spellStart"/>
      <w:r w:rsidRPr="00EB6549">
        <w:rPr>
          <w:sz w:val="24"/>
          <w:szCs w:val="24"/>
          <w:lang w:val="ro-RO"/>
        </w:rPr>
        <w:t>Veaceslav</w:t>
      </w:r>
      <w:proofErr w:type="spellEnd"/>
      <w:r w:rsidRPr="00EB6549">
        <w:rPr>
          <w:sz w:val="24"/>
          <w:szCs w:val="24"/>
          <w:lang w:val="ro-RO"/>
        </w:rPr>
        <w:t xml:space="preserve">, dr. </w:t>
      </w:r>
      <w:proofErr w:type="spellStart"/>
      <w:r w:rsidRPr="00EB6549">
        <w:rPr>
          <w:sz w:val="24"/>
          <w:szCs w:val="24"/>
          <w:lang w:val="ro-RO"/>
        </w:rPr>
        <w:t>hab</w:t>
      </w:r>
      <w:proofErr w:type="spellEnd"/>
      <w:r w:rsidRPr="00EB6549">
        <w:rPr>
          <w:sz w:val="24"/>
          <w:szCs w:val="24"/>
          <w:lang w:val="ro-RO"/>
        </w:rPr>
        <w:t xml:space="preserve">. – </w:t>
      </w:r>
      <w:r w:rsidR="000F4F2D" w:rsidRPr="00EB6549">
        <w:rPr>
          <w:sz w:val="24"/>
          <w:szCs w:val="24"/>
          <w:lang w:val="ro-RO"/>
        </w:rPr>
        <w:t>adjunct conducător secție</w:t>
      </w:r>
      <w:r w:rsidRPr="00EB6549">
        <w:rPr>
          <w:sz w:val="24"/>
          <w:szCs w:val="24"/>
          <w:lang w:val="ro-RO"/>
        </w:rPr>
        <w:t xml:space="preserve">; </w:t>
      </w:r>
      <w:proofErr w:type="spellStart"/>
      <w:r w:rsidR="00DF1A47" w:rsidRPr="00EB6549">
        <w:rPr>
          <w:sz w:val="24"/>
          <w:szCs w:val="24"/>
          <w:lang w:val="ro-RO"/>
        </w:rPr>
        <w:t>Dodon</w:t>
      </w:r>
      <w:proofErr w:type="spellEnd"/>
      <w:r w:rsidR="00DF1A47" w:rsidRPr="00EB6549">
        <w:rPr>
          <w:sz w:val="24"/>
          <w:szCs w:val="24"/>
          <w:lang w:val="ro-RO"/>
        </w:rPr>
        <w:t xml:space="preserve"> Adelina, dr. – </w:t>
      </w:r>
      <w:r w:rsidR="006D74B9">
        <w:rPr>
          <w:sz w:val="24"/>
          <w:szCs w:val="24"/>
          <w:lang w:val="ro-RO"/>
        </w:rPr>
        <w:t>secretar științific secție</w:t>
      </w:r>
      <w:r w:rsidR="00866323">
        <w:rPr>
          <w:sz w:val="24"/>
          <w:szCs w:val="24"/>
          <w:lang w:val="ro-RO"/>
        </w:rPr>
        <w:t>;</w:t>
      </w:r>
      <w:r w:rsidR="006D74B9">
        <w:rPr>
          <w:sz w:val="24"/>
          <w:szCs w:val="24"/>
          <w:lang w:val="ro-RO"/>
        </w:rPr>
        <w:t xml:space="preserve">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714CD9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B779AE" w:rsidRDefault="006B29EC" w:rsidP="00874C1A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6B29EC"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</w:t>
      </w:r>
      <w:r w:rsidR="0012528A">
        <w:rPr>
          <w:sz w:val="24"/>
          <w:szCs w:val="24"/>
          <w:lang w:val="ro-RO"/>
        </w:rPr>
        <w:t>Raportul pe proiectul de cercetare</w:t>
      </w:r>
      <w:r w:rsidR="00845A73">
        <w:rPr>
          <w:sz w:val="24"/>
          <w:szCs w:val="24"/>
          <w:lang w:val="ro-RO"/>
        </w:rPr>
        <w:t xml:space="preserve"> </w:t>
      </w:r>
      <w:r w:rsidR="00FE524C">
        <w:rPr>
          <w:sz w:val="24"/>
          <w:szCs w:val="24"/>
          <w:lang w:val="ro-RO"/>
        </w:rPr>
        <w:t xml:space="preserve">pentru tineri cercetători </w:t>
      </w:r>
      <w:r w:rsidR="00874C1A" w:rsidRPr="004F62BE">
        <w:rPr>
          <w:sz w:val="24"/>
          <w:szCs w:val="24"/>
          <w:lang w:val="ro-RO"/>
        </w:rPr>
        <w:t>19.80012.50.15A</w:t>
      </w:r>
      <w:r w:rsidR="00845A73">
        <w:rPr>
          <w:sz w:val="24"/>
          <w:szCs w:val="24"/>
          <w:lang w:val="ro-RO"/>
        </w:rPr>
        <w:t xml:space="preserve"> </w:t>
      </w:r>
      <w:r w:rsidR="00874C1A" w:rsidRPr="00091C82">
        <w:rPr>
          <w:sz w:val="24"/>
          <w:szCs w:val="24"/>
          <w:lang w:val="ro-RO"/>
        </w:rPr>
        <w:t>Dezvoltarea și implementarea unui Sistem informațional de evaluare a calității procesului educațional universitar în baza standardelor europene de evaluare</w:t>
      </w:r>
      <w:r w:rsidR="003476A6" w:rsidRPr="000A4C53">
        <w:rPr>
          <w:sz w:val="24"/>
          <w:szCs w:val="24"/>
          <w:lang w:val="ro-RO"/>
        </w:rPr>
        <w:t xml:space="preserve">, director proiect </w:t>
      </w:r>
      <w:r w:rsidR="00874C1A">
        <w:rPr>
          <w:sz w:val="24"/>
          <w:szCs w:val="24"/>
          <w:lang w:val="ro-RO"/>
        </w:rPr>
        <w:t>Dr. BELDIGA Maria</w:t>
      </w:r>
      <w:r w:rsidR="00552D17">
        <w:rPr>
          <w:sz w:val="24"/>
          <w:szCs w:val="24"/>
          <w:lang w:val="ro-RO"/>
        </w:rPr>
        <w:t>,</w:t>
      </w:r>
      <w:r w:rsidR="006C5F37">
        <w:rPr>
          <w:sz w:val="24"/>
          <w:szCs w:val="24"/>
          <w:lang w:val="ro-RO"/>
        </w:rPr>
        <w:t xml:space="preserve"> </w:t>
      </w:r>
      <w:r w:rsidR="00874C1A" w:rsidRPr="00271398">
        <w:rPr>
          <w:sz w:val="24"/>
          <w:szCs w:val="24"/>
          <w:lang w:val="ro-RO"/>
        </w:rPr>
        <w:t>Universitatea de Stat din Moldova</w:t>
      </w:r>
      <w:r w:rsidR="00066FD9">
        <w:rPr>
          <w:sz w:val="22"/>
          <w:szCs w:val="22"/>
          <w:shd w:val="clear" w:color="auto" w:fill="FFFFFF"/>
          <w:lang w:val="ro-RO"/>
        </w:rPr>
        <w:t>.</w:t>
      </w:r>
    </w:p>
    <w:p w:rsidR="001E7E22" w:rsidRPr="00066FD9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6C5F37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CB2343">
        <w:rPr>
          <w:sz w:val="24"/>
          <w:szCs w:val="24"/>
          <w:lang w:val="ro-RO"/>
        </w:rPr>
        <w:t>–</w:t>
      </w:r>
      <w:r w:rsidR="005063B9">
        <w:rPr>
          <w:sz w:val="24"/>
          <w:szCs w:val="24"/>
          <w:lang w:val="en-US"/>
        </w:rPr>
        <w:t>“</w:t>
      </w:r>
      <w:r w:rsidR="00CB2343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7D0889" w:rsidRPr="00C65D3B" w:rsidRDefault="004379C6" w:rsidP="007D088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7D0889">
        <w:rPr>
          <w:sz w:val="24"/>
          <w:szCs w:val="24"/>
          <w:lang w:val="ro-RO"/>
        </w:rPr>
        <w:t xml:space="preserve">Au fost </w:t>
      </w:r>
      <w:r w:rsidR="007D0889" w:rsidRPr="007D0889">
        <w:rPr>
          <w:sz w:val="24"/>
          <w:szCs w:val="24"/>
          <w:lang w:val="ro-RO"/>
        </w:rPr>
        <w:t>elaborat Sistemul informațional de evaluare a procesului educațional universitar (SIEU) în baza standardelor europene de evaluare la nivel național și internațional și tehnologiilor</w:t>
      </w:r>
      <w:r w:rsidR="007D0889">
        <w:rPr>
          <w:sz w:val="24"/>
          <w:szCs w:val="24"/>
          <w:lang w:val="ro-RO"/>
        </w:rPr>
        <w:t xml:space="preserve"> web.</w:t>
      </w:r>
      <w:r w:rsidR="00C65D3B" w:rsidRPr="00C65D3B">
        <w:rPr>
          <w:sz w:val="24"/>
          <w:szCs w:val="24"/>
          <w:lang w:val="ro-RO"/>
        </w:rPr>
        <w:t>Au fost elabor</w:t>
      </w:r>
      <w:r w:rsidR="00C65D3B">
        <w:rPr>
          <w:sz w:val="24"/>
          <w:szCs w:val="24"/>
          <w:lang w:val="ro-RO"/>
        </w:rPr>
        <w:t>a</w:t>
      </w:r>
      <w:r w:rsidR="00C65D3B" w:rsidRPr="00C65D3B">
        <w:rPr>
          <w:sz w:val="24"/>
          <w:szCs w:val="24"/>
          <w:lang w:val="ro-RO"/>
        </w:rPr>
        <w:t>te formula</w:t>
      </w:r>
      <w:r w:rsidR="00C65D3B">
        <w:rPr>
          <w:sz w:val="24"/>
          <w:szCs w:val="24"/>
          <w:lang w:val="ro-RO"/>
        </w:rPr>
        <w:t xml:space="preserve">re online de evaluare a </w:t>
      </w:r>
      <w:r w:rsidR="00C65D3B" w:rsidRPr="00C65D3B">
        <w:rPr>
          <w:sz w:val="24"/>
          <w:szCs w:val="24"/>
          <w:lang w:val="ro-RO"/>
        </w:rPr>
        <w:t>discip</w:t>
      </w:r>
      <w:r w:rsidR="00C65D3B">
        <w:rPr>
          <w:sz w:val="24"/>
          <w:szCs w:val="24"/>
          <w:lang w:val="ro-RO"/>
        </w:rPr>
        <w:t xml:space="preserve">linei, profesorului, facultății și universității. </w:t>
      </w:r>
    </w:p>
    <w:p w:rsidR="007D0889" w:rsidRDefault="007D0889" w:rsidP="00E25CE0">
      <w:pPr>
        <w:rPr>
          <w:sz w:val="24"/>
          <w:szCs w:val="24"/>
          <w:lang w:val="ro-RO"/>
        </w:rPr>
      </w:pPr>
    </w:p>
    <w:p w:rsidR="00DE2016" w:rsidRDefault="00DE2016" w:rsidP="00E1694F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Rezultatele au fost publicate în 2 culegeri si 2 teze la conferințe. A fost obținut un brevet de invenție.</w:t>
      </w:r>
    </w:p>
    <w:p w:rsidR="00F74741" w:rsidRDefault="00F74741" w:rsidP="00E1694F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615E7B" w:rsidRDefault="007C1FE8" w:rsidP="00E1694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există perspectivă de</w:t>
      </w:r>
      <w:r w:rsidR="0087706C">
        <w:rPr>
          <w:sz w:val="24"/>
          <w:szCs w:val="24"/>
          <w:lang w:val="ro-RO"/>
        </w:rPr>
        <w:t xml:space="preserve"> implementare. </w:t>
      </w:r>
      <w:r w:rsidR="003D2660" w:rsidRPr="003D2660">
        <w:rPr>
          <w:sz w:val="24"/>
          <w:szCs w:val="24"/>
          <w:lang w:val="ro-RO"/>
        </w:rPr>
        <w:t>Cercetările realizate în cadrul proiectului au fost orientate spre dezvoltarea unei tehnologii informaționale originale</w:t>
      </w:r>
      <w:r w:rsidR="003D2660">
        <w:rPr>
          <w:sz w:val="24"/>
          <w:szCs w:val="24"/>
          <w:lang w:val="ro-RO"/>
        </w:rPr>
        <w:t xml:space="preserve">, </w:t>
      </w:r>
      <w:r w:rsidR="003D2660" w:rsidRPr="003D2660">
        <w:rPr>
          <w:sz w:val="24"/>
          <w:szCs w:val="24"/>
          <w:lang w:val="ro-RO"/>
        </w:rPr>
        <w:t>care asistă utilizatorul final la evaluarea procesului educațional universitar în baza standardelor europene de evaluare.</w:t>
      </w:r>
    </w:p>
    <w:p w:rsidR="00FB10A1" w:rsidRDefault="00FB10A1" w:rsidP="00E1694F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Default="009F27B7" w:rsidP="00E1694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106F89">
        <w:rPr>
          <w:sz w:val="24"/>
          <w:szCs w:val="24"/>
          <w:lang w:val="ro-RO"/>
        </w:rPr>
        <w:t>s</w:t>
      </w:r>
      <w:r w:rsidR="00357453">
        <w:rPr>
          <w:sz w:val="24"/>
          <w:szCs w:val="24"/>
          <w:lang w:val="ro-RO"/>
        </w:rPr>
        <w:t xml:space="preserve">uficientă, </w:t>
      </w:r>
      <w:r w:rsidR="00106F89">
        <w:rPr>
          <w:sz w:val="24"/>
          <w:szCs w:val="24"/>
          <w:lang w:val="ro-RO"/>
        </w:rPr>
        <w:t>toți 6 executori sunt tineri cercetători</w:t>
      </w:r>
      <w:r w:rsidR="00E6720A">
        <w:rPr>
          <w:sz w:val="24"/>
          <w:szCs w:val="24"/>
          <w:lang w:val="ro-RO"/>
        </w:rPr>
        <w:t>.</w:t>
      </w:r>
    </w:p>
    <w:p w:rsidR="00615E7B" w:rsidRDefault="00615E7B" w:rsidP="00EA7FD3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615E7B" w:rsidRDefault="00E74B2F" w:rsidP="00C47E2F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366672">
        <w:rPr>
          <w:sz w:val="24"/>
          <w:szCs w:val="24"/>
          <w:lang w:val="ro-RO"/>
        </w:rPr>
        <w:t>:</w:t>
      </w:r>
    </w:p>
    <w:p w:rsidR="00366672" w:rsidRPr="00366672" w:rsidRDefault="00366672" w:rsidP="00366672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Participarea în alte proiecte nu este menționată. </w:t>
      </w:r>
      <w:r w:rsidRPr="00366672">
        <w:rPr>
          <w:sz w:val="24"/>
          <w:szCs w:val="24"/>
          <w:lang w:val="ro-RO"/>
        </w:rPr>
        <w:t>În timpul vizitelor la Universitatea „Ștefan cel Mare” din Suceava, Academia „Forțelor Terest</w:t>
      </w:r>
      <w:r w:rsidR="00D45DF0">
        <w:rPr>
          <w:sz w:val="24"/>
          <w:szCs w:val="24"/>
          <w:lang w:val="ro-RO"/>
        </w:rPr>
        <w:t>r</w:t>
      </w:r>
      <w:r w:rsidRPr="00366672">
        <w:rPr>
          <w:sz w:val="24"/>
          <w:szCs w:val="24"/>
          <w:lang w:val="ro-RO"/>
        </w:rPr>
        <w:t xml:space="preserve">e” din Sibiu, Universitatea „Aurel Vlaicu” din Arad au fost discutate cu colegii de la aceste instituții viitoare colaborări științifice. </w:t>
      </w:r>
    </w:p>
    <w:p w:rsidR="006646FF" w:rsidRPr="00CE64F2" w:rsidRDefault="006646FF" w:rsidP="00366672">
      <w:pPr>
        <w:rPr>
          <w:color w:val="000000" w:themeColor="text1"/>
          <w:sz w:val="24"/>
          <w:szCs w:val="24"/>
          <w:lang w:val="ro-RO"/>
        </w:rPr>
      </w:pPr>
    </w:p>
    <w:p w:rsidR="00E1694F" w:rsidRDefault="00E1694F" w:rsidP="00615E7B">
      <w:pPr>
        <w:ind w:firstLine="567"/>
        <w:rPr>
          <w:i/>
          <w:sz w:val="24"/>
          <w:szCs w:val="24"/>
          <w:lang w:val="ro-RO"/>
        </w:rPr>
      </w:pPr>
    </w:p>
    <w:p w:rsidR="00615E7B" w:rsidRDefault="00C47E2F" w:rsidP="00615E7B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892FEC" w:rsidRDefault="00892FEC" w:rsidP="00A60ED9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892FEC" w:rsidRDefault="00892FEC" w:rsidP="00EA7FD3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A60ED9" w:rsidRDefault="004F3B9E" w:rsidP="00A60ED9">
      <w:pPr>
        <w:ind w:firstLine="567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9E6BED">
        <w:rPr>
          <w:sz w:val="24"/>
          <w:szCs w:val="24"/>
          <w:lang w:val="ro-RO"/>
        </w:rPr>
        <w:t>a fost utilizată tehnică de calcul modernă</w:t>
      </w:r>
      <w:r w:rsidR="00401702">
        <w:rPr>
          <w:sz w:val="24"/>
          <w:szCs w:val="24"/>
          <w:lang w:val="ro-RO"/>
        </w:rPr>
        <w:t>, a</w:t>
      </w:r>
      <w:r w:rsidR="00401702" w:rsidRPr="00401702">
        <w:rPr>
          <w:sz w:val="24"/>
          <w:szCs w:val="24"/>
          <w:lang w:val="ro-RO"/>
        </w:rPr>
        <w:t>plic</w:t>
      </w:r>
      <w:r w:rsidR="00401702">
        <w:rPr>
          <w:sz w:val="24"/>
          <w:szCs w:val="24"/>
          <w:lang w:val="ro-RO"/>
        </w:rPr>
        <w:t>ații</w:t>
      </w:r>
      <w:r w:rsidR="00401702" w:rsidRPr="00401702">
        <w:rPr>
          <w:sz w:val="24"/>
          <w:szCs w:val="24"/>
          <w:lang w:val="ro-RO"/>
        </w:rPr>
        <w:t xml:space="preserve"> Web</w:t>
      </w:r>
      <w:r w:rsidR="00401702">
        <w:rPr>
          <w:sz w:val="24"/>
          <w:szCs w:val="24"/>
          <w:lang w:val="ro-RO"/>
        </w:rPr>
        <w:t xml:space="preserve"> și baze de date.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015A07" w:rsidRDefault="00015A07" w:rsidP="00015A0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015A07" w:rsidRDefault="00015A07" w:rsidP="00015A0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015A07" w:rsidRDefault="00015A07" w:rsidP="00015A0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15A07" w:rsidRDefault="00015A07" w:rsidP="00015A07">
      <w:pPr>
        <w:rPr>
          <w:b/>
          <w:sz w:val="24"/>
          <w:szCs w:val="24"/>
          <w:lang w:val="ro-RO"/>
        </w:rPr>
      </w:pPr>
    </w:p>
    <w:p w:rsidR="00015A07" w:rsidRDefault="00015A07" w:rsidP="00015A07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015A07" w:rsidRDefault="00015A07" w:rsidP="00015A07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15A07" w:rsidRPr="0065046E" w:rsidRDefault="00015A07" w:rsidP="00844B93">
      <w:pPr>
        <w:rPr>
          <w:sz w:val="24"/>
          <w:szCs w:val="24"/>
          <w:lang w:val="ro-RO"/>
        </w:rPr>
      </w:pPr>
      <w:bookmarkStart w:id="0" w:name="_GoBack"/>
      <w:bookmarkEnd w:id="0"/>
    </w:p>
    <w:sectPr w:rsidR="00015A07" w:rsidRPr="0065046E" w:rsidSect="00D42BCF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89" w:rsidRDefault="00111889" w:rsidP="007204DD">
      <w:r>
        <w:separator/>
      </w:r>
    </w:p>
  </w:endnote>
  <w:endnote w:type="continuationSeparator" w:id="1">
    <w:p w:rsidR="00111889" w:rsidRDefault="00111889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1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A9A" w:rsidRDefault="00EB597E">
        <w:pPr>
          <w:pStyle w:val="Footer"/>
          <w:jc w:val="right"/>
        </w:pPr>
        <w:r>
          <w:fldChar w:fldCharType="begin"/>
        </w:r>
        <w:r w:rsidR="006D2A9A">
          <w:instrText xml:space="preserve"> PAGE   \* MERGEFORMAT </w:instrText>
        </w:r>
        <w:r>
          <w:fldChar w:fldCharType="separate"/>
        </w:r>
        <w:r w:rsidR="005A1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89" w:rsidRDefault="00111889" w:rsidP="007204DD">
      <w:r>
        <w:separator/>
      </w:r>
    </w:p>
  </w:footnote>
  <w:footnote w:type="continuationSeparator" w:id="1">
    <w:p w:rsidR="00111889" w:rsidRDefault="00111889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14542"/>
    <w:rsid w:val="00015238"/>
    <w:rsid w:val="0001525B"/>
    <w:rsid w:val="00015502"/>
    <w:rsid w:val="00015A07"/>
    <w:rsid w:val="00020645"/>
    <w:rsid w:val="00025DE9"/>
    <w:rsid w:val="0003104A"/>
    <w:rsid w:val="0003554A"/>
    <w:rsid w:val="0004098E"/>
    <w:rsid w:val="000417D3"/>
    <w:rsid w:val="00061D70"/>
    <w:rsid w:val="00066FD9"/>
    <w:rsid w:val="000723E3"/>
    <w:rsid w:val="000825ED"/>
    <w:rsid w:val="00082CDA"/>
    <w:rsid w:val="000830AD"/>
    <w:rsid w:val="00087374"/>
    <w:rsid w:val="00090C33"/>
    <w:rsid w:val="000911C6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F11DE"/>
    <w:rsid w:val="000F4F2D"/>
    <w:rsid w:val="000F4F74"/>
    <w:rsid w:val="001029BE"/>
    <w:rsid w:val="00104A16"/>
    <w:rsid w:val="00106634"/>
    <w:rsid w:val="00106F89"/>
    <w:rsid w:val="00111889"/>
    <w:rsid w:val="00111A57"/>
    <w:rsid w:val="00111E2F"/>
    <w:rsid w:val="00115D37"/>
    <w:rsid w:val="0012528A"/>
    <w:rsid w:val="00136D41"/>
    <w:rsid w:val="001401A6"/>
    <w:rsid w:val="00141178"/>
    <w:rsid w:val="001439C1"/>
    <w:rsid w:val="00145335"/>
    <w:rsid w:val="00145EC0"/>
    <w:rsid w:val="00150033"/>
    <w:rsid w:val="0016342C"/>
    <w:rsid w:val="0016762C"/>
    <w:rsid w:val="00172FCF"/>
    <w:rsid w:val="00182F9E"/>
    <w:rsid w:val="00184971"/>
    <w:rsid w:val="001945EA"/>
    <w:rsid w:val="00196835"/>
    <w:rsid w:val="001A00FF"/>
    <w:rsid w:val="001A324E"/>
    <w:rsid w:val="001A36C7"/>
    <w:rsid w:val="001B019D"/>
    <w:rsid w:val="001B2786"/>
    <w:rsid w:val="001B7F7B"/>
    <w:rsid w:val="001C04AD"/>
    <w:rsid w:val="001C0F5E"/>
    <w:rsid w:val="001C2A03"/>
    <w:rsid w:val="001D2C8F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278A3"/>
    <w:rsid w:val="00233CED"/>
    <w:rsid w:val="00234DFD"/>
    <w:rsid w:val="00235CB1"/>
    <w:rsid w:val="00241C08"/>
    <w:rsid w:val="00243208"/>
    <w:rsid w:val="00246E35"/>
    <w:rsid w:val="0025476F"/>
    <w:rsid w:val="002610F6"/>
    <w:rsid w:val="002743AD"/>
    <w:rsid w:val="00275280"/>
    <w:rsid w:val="00280673"/>
    <w:rsid w:val="00285996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E2469"/>
    <w:rsid w:val="002E277A"/>
    <w:rsid w:val="002E2AA9"/>
    <w:rsid w:val="002F2364"/>
    <w:rsid w:val="002F559B"/>
    <w:rsid w:val="00310CA5"/>
    <w:rsid w:val="00317B92"/>
    <w:rsid w:val="00322382"/>
    <w:rsid w:val="00326F11"/>
    <w:rsid w:val="003476A6"/>
    <w:rsid w:val="00352AF2"/>
    <w:rsid w:val="003530BD"/>
    <w:rsid w:val="00355317"/>
    <w:rsid w:val="0035608F"/>
    <w:rsid w:val="00357453"/>
    <w:rsid w:val="00360D8E"/>
    <w:rsid w:val="00363188"/>
    <w:rsid w:val="00366672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3927"/>
    <w:rsid w:val="003A640E"/>
    <w:rsid w:val="003B6591"/>
    <w:rsid w:val="003C383A"/>
    <w:rsid w:val="003C4D7F"/>
    <w:rsid w:val="003C6539"/>
    <w:rsid w:val="003D2660"/>
    <w:rsid w:val="003D2E89"/>
    <w:rsid w:val="003E0B3D"/>
    <w:rsid w:val="003F1BDA"/>
    <w:rsid w:val="003F57BB"/>
    <w:rsid w:val="003F69E7"/>
    <w:rsid w:val="00401702"/>
    <w:rsid w:val="00406F44"/>
    <w:rsid w:val="0041377F"/>
    <w:rsid w:val="00413E3D"/>
    <w:rsid w:val="0041524A"/>
    <w:rsid w:val="00424972"/>
    <w:rsid w:val="00424CD8"/>
    <w:rsid w:val="00427969"/>
    <w:rsid w:val="00435001"/>
    <w:rsid w:val="004379C6"/>
    <w:rsid w:val="0044251E"/>
    <w:rsid w:val="00446580"/>
    <w:rsid w:val="00446E15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1CE8"/>
    <w:rsid w:val="004D7191"/>
    <w:rsid w:val="004E6A5B"/>
    <w:rsid w:val="004F23D0"/>
    <w:rsid w:val="004F3B9E"/>
    <w:rsid w:val="004F6BA1"/>
    <w:rsid w:val="004F750E"/>
    <w:rsid w:val="0050120A"/>
    <w:rsid w:val="0050326E"/>
    <w:rsid w:val="005063B9"/>
    <w:rsid w:val="005067AC"/>
    <w:rsid w:val="0051005A"/>
    <w:rsid w:val="00513666"/>
    <w:rsid w:val="0051395D"/>
    <w:rsid w:val="00513B47"/>
    <w:rsid w:val="00514705"/>
    <w:rsid w:val="00517863"/>
    <w:rsid w:val="00520BA4"/>
    <w:rsid w:val="00522964"/>
    <w:rsid w:val="00527493"/>
    <w:rsid w:val="005370C5"/>
    <w:rsid w:val="005376EB"/>
    <w:rsid w:val="00540356"/>
    <w:rsid w:val="00544D75"/>
    <w:rsid w:val="00547EBC"/>
    <w:rsid w:val="00550868"/>
    <w:rsid w:val="00552D17"/>
    <w:rsid w:val="0057562E"/>
    <w:rsid w:val="005854DA"/>
    <w:rsid w:val="00586C36"/>
    <w:rsid w:val="00590390"/>
    <w:rsid w:val="00592ABB"/>
    <w:rsid w:val="00593CB9"/>
    <w:rsid w:val="005A1D02"/>
    <w:rsid w:val="005A3D28"/>
    <w:rsid w:val="005C2AA6"/>
    <w:rsid w:val="005C302F"/>
    <w:rsid w:val="005C56C2"/>
    <w:rsid w:val="005D233A"/>
    <w:rsid w:val="005D3C60"/>
    <w:rsid w:val="005E2A11"/>
    <w:rsid w:val="005E699A"/>
    <w:rsid w:val="005E7429"/>
    <w:rsid w:val="005F4CE1"/>
    <w:rsid w:val="0060255F"/>
    <w:rsid w:val="00605700"/>
    <w:rsid w:val="00615D68"/>
    <w:rsid w:val="00615E7B"/>
    <w:rsid w:val="00617617"/>
    <w:rsid w:val="00624380"/>
    <w:rsid w:val="00624886"/>
    <w:rsid w:val="0062503D"/>
    <w:rsid w:val="00635C26"/>
    <w:rsid w:val="006369EF"/>
    <w:rsid w:val="00640613"/>
    <w:rsid w:val="006409BF"/>
    <w:rsid w:val="00643506"/>
    <w:rsid w:val="006503B0"/>
    <w:rsid w:val="0065046E"/>
    <w:rsid w:val="00651D33"/>
    <w:rsid w:val="00652DBF"/>
    <w:rsid w:val="00656041"/>
    <w:rsid w:val="00661799"/>
    <w:rsid w:val="006646FF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C37B1"/>
    <w:rsid w:val="006C5F37"/>
    <w:rsid w:val="006D2A9A"/>
    <w:rsid w:val="006D686B"/>
    <w:rsid w:val="006D74B9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14CD9"/>
    <w:rsid w:val="007204DD"/>
    <w:rsid w:val="00722DE0"/>
    <w:rsid w:val="00725ABE"/>
    <w:rsid w:val="0073597C"/>
    <w:rsid w:val="00742CEA"/>
    <w:rsid w:val="00751F98"/>
    <w:rsid w:val="00753F4E"/>
    <w:rsid w:val="0076082D"/>
    <w:rsid w:val="00773546"/>
    <w:rsid w:val="007738DC"/>
    <w:rsid w:val="00774DAC"/>
    <w:rsid w:val="00775F22"/>
    <w:rsid w:val="00780EA7"/>
    <w:rsid w:val="00782799"/>
    <w:rsid w:val="00784E80"/>
    <w:rsid w:val="00791B1E"/>
    <w:rsid w:val="007959BF"/>
    <w:rsid w:val="00796069"/>
    <w:rsid w:val="007A260B"/>
    <w:rsid w:val="007A4263"/>
    <w:rsid w:val="007A6967"/>
    <w:rsid w:val="007A733C"/>
    <w:rsid w:val="007B611C"/>
    <w:rsid w:val="007C1A0B"/>
    <w:rsid w:val="007C1FE8"/>
    <w:rsid w:val="007C2162"/>
    <w:rsid w:val="007C238F"/>
    <w:rsid w:val="007C35AF"/>
    <w:rsid w:val="007C3DD0"/>
    <w:rsid w:val="007C4605"/>
    <w:rsid w:val="007C7680"/>
    <w:rsid w:val="007D0889"/>
    <w:rsid w:val="007D2EFB"/>
    <w:rsid w:val="007D50F5"/>
    <w:rsid w:val="007E1539"/>
    <w:rsid w:val="007E1E8F"/>
    <w:rsid w:val="007E2D07"/>
    <w:rsid w:val="007E5313"/>
    <w:rsid w:val="007E6B3E"/>
    <w:rsid w:val="007E70EA"/>
    <w:rsid w:val="007F2869"/>
    <w:rsid w:val="007F600B"/>
    <w:rsid w:val="00801E12"/>
    <w:rsid w:val="00804747"/>
    <w:rsid w:val="00804E25"/>
    <w:rsid w:val="00815258"/>
    <w:rsid w:val="008201AE"/>
    <w:rsid w:val="0082310A"/>
    <w:rsid w:val="00835BB6"/>
    <w:rsid w:val="00844B93"/>
    <w:rsid w:val="00845549"/>
    <w:rsid w:val="00845A73"/>
    <w:rsid w:val="008635D8"/>
    <w:rsid w:val="00866323"/>
    <w:rsid w:val="008676D4"/>
    <w:rsid w:val="00874C1A"/>
    <w:rsid w:val="008764A6"/>
    <w:rsid w:val="0087706C"/>
    <w:rsid w:val="008804B6"/>
    <w:rsid w:val="00880509"/>
    <w:rsid w:val="00892FEC"/>
    <w:rsid w:val="008931C8"/>
    <w:rsid w:val="008A2160"/>
    <w:rsid w:val="008B3018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64C67"/>
    <w:rsid w:val="009674C5"/>
    <w:rsid w:val="00974397"/>
    <w:rsid w:val="00974A0C"/>
    <w:rsid w:val="009815F1"/>
    <w:rsid w:val="00981803"/>
    <w:rsid w:val="0098757A"/>
    <w:rsid w:val="00987E80"/>
    <w:rsid w:val="00996881"/>
    <w:rsid w:val="009A35B1"/>
    <w:rsid w:val="009A79DC"/>
    <w:rsid w:val="009B3849"/>
    <w:rsid w:val="009B5226"/>
    <w:rsid w:val="009B661A"/>
    <w:rsid w:val="009B7837"/>
    <w:rsid w:val="009B7C9C"/>
    <w:rsid w:val="009C315A"/>
    <w:rsid w:val="009C48FF"/>
    <w:rsid w:val="009C5EE0"/>
    <w:rsid w:val="009D0404"/>
    <w:rsid w:val="009D3999"/>
    <w:rsid w:val="009D4A93"/>
    <w:rsid w:val="009E09AC"/>
    <w:rsid w:val="009E653D"/>
    <w:rsid w:val="009E6BED"/>
    <w:rsid w:val="009E6F7B"/>
    <w:rsid w:val="009F27B7"/>
    <w:rsid w:val="009F29FF"/>
    <w:rsid w:val="00A00E33"/>
    <w:rsid w:val="00A13EF2"/>
    <w:rsid w:val="00A14B73"/>
    <w:rsid w:val="00A14CA5"/>
    <w:rsid w:val="00A1698A"/>
    <w:rsid w:val="00A16DF8"/>
    <w:rsid w:val="00A21C73"/>
    <w:rsid w:val="00A24ED5"/>
    <w:rsid w:val="00A326A8"/>
    <w:rsid w:val="00A44ADA"/>
    <w:rsid w:val="00A52D80"/>
    <w:rsid w:val="00A53E2D"/>
    <w:rsid w:val="00A56076"/>
    <w:rsid w:val="00A60ED9"/>
    <w:rsid w:val="00A666BD"/>
    <w:rsid w:val="00A7108D"/>
    <w:rsid w:val="00A72F1E"/>
    <w:rsid w:val="00A748C3"/>
    <w:rsid w:val="00A81A79"/>
    <w:rsid w:val="00A82DA3"/>
    <w:rsid w:val="00A853D6"/>
    <w:rsid w:val="00A87613"/>
    <w:rsid w:val="00A909EC"/>
    <w:rsid w:val="00A93C43"/>
    <w:rsid w:val="00AC1479"/>
    <w:rsid w:val="00AC5F38"/>
    <w:rsid w:val="00AD2802"/>
    <w:rsid w:val="00AD60CE"/>
    <w:rsid w:val="00AF437E"/>
    <w:rsid w:val="00AF60B3"/>
    <w:rsid w:val="00B01D80"/>
    <w:rsid w:val="00B0265A"/>
    <w:rsid w:val="00B11B77"/>
    <w:rsid w:val="00B13754"/>
    <w:rsid w:val="00B165E3"/>
    <w:rsid w:val="00B172DB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D30"/>
    <w:rsid w:val="00B779AE"/>
    <w:rsid w:val="00B824E8"/>
    <w:rsid w:val="00B841C8"/>
    <w:rsid w:val="00B86DAC"/>
    <w:rsid w:val="00B87375"/>
    <w:rsid w:val="00B9312C"/>
    <w:rsid w:val="00B9399C"/>
    <w:rsid w:val="00B9427C"/>
    <w:rsid w:val="00B970B9"/>
    <w:rsid w:val="00BA1EB4"/>
    <w:rsid w:val="00BB4003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1A7"/>
    <w:rsid w:val="00C20BED"/>
    <w:rsid w:val="00C213B6"/>
    <w:rsid w:val="00C25CD9"/>
    <w:rsid w:val="00C3603D"/>
    <w:rsid w:val="00C377AF"/>
    <w:rsid w:val="00C40B4E"/>
    <w:rsid w:val="00C46284"/>
    <w:rsid w:val="00C47239"/>
    <w:rsid w:val="00C47E2F"/>
    <w:rsid w:val="00C5037D"/>
    <w:rsid w:val="00C5357E"/>
    <w:rsid w:val="00C5474D"/>
    <w:rsid w:val="00C6254F"/>
    <w:rsid w:val="00C6495C"/>
    <w:rsid w:val="00C649EE"/>
    <w:rsid w:val="00C65D3B"/>
    <w:rsid w:val="00C65E3E"/>
    <w:rsid w:val="00C72ABB"/>
    <w:rsid w:val="00C81885"/>
    <w:rsid w:val="00C81B63"/>
    <w:rsid w:val="00C84884"/>
    <w:rsid w:val="00C92529"/>
    <w:rsid w:val="00C93E6A"/>
    <w:rsid w:val="00CA1AF9"/>
    <w:rsid w:val="00CA2C06"/>
    <w:rsid w:val="00CA4EA6"/>
    <w:rsid w:val="00CB2343"/>
    <w:rsid w:val="00CB3513"/>
    <w:rsid w:val="00CB450B"/>
    <w:rsid w:val="00CC2666"/>
    <w:rsid w:val="00CD1075"/>
    <w:rsid w:val="00CD15F9"/>
    <w:rsid w:val="00CD204A"/>
    <w:rsid w:val="00CD6D75"/>
    <w:rsid w:val="00CE64F2"/>
    <w:rsid w:val="00CE65DE"/>
    <w:rsid w:val="00CE7114"/>
    <w:rsid w:val="00CF135B"/>
    <w:rsid w:val="00CF312B"/>
    <w:rsid w:val="00CF430A"/>
    <w:rsid w:val="00D01EAA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BCF"/>
    <w:rsid w:val="00D45DF0"/>
    <w:rsid w:val="00D50C6C"/>
    <w:rsid w:val="00D50E73"/>
    <w:rsid w:val="00D53571"/>
    <w:rsid w:val="00D53592"/>
    <w:rsid w:val="00D569CE"/>
    <w:rsid w:val="00D57396"/>
    <w:rsid w:val="00D606CF"/>
    <w:rsid w:val="00D60B4A"/>
    <w:rsid w:val="00D701D4"/>
    <w:rsid w:val="00D9025F"/>
    <w:rsid w:val="00D917AA"/>
    <w:rsid w:val="00D97038"/>
    <w:rsid w:val="00DB5213"/>
    <w:rsid w:val="00DB7190"/>
    <w:rsid w:val="00DD2D24"/>
    <w:rsid w:val="00DD7DFB"/>
    <w:rsid w:val="00DE2016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694F"/>
    <w:rsid w:val="00E17524"/>
    <w:rsid w:val="00E17E4D"/>
    <w:rsid w:val="00E22522"/>
    <w:rsid w:val="00E23CBD"/>
    <w:rsid w:val="00E25CE0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24BD"/>
    <w:rsid w:val="00E74B2F"/>
    <w:rsid w:val="00E75446"/>
    <w:rsid w:val="00E82208"/>
    <w:rsid w:val="00E827A5"/>
    <w:rsid w:val="00EA16DE"/>
    <w:rsid w:val="00EA7FD3"/>
    <w:rsid w:val="00EB0C02"/>
    <w:rsid w:val="00EB597E"/>
    <w:rsid w:val="00EB61ED"/>
    <w:rsid w:val="00EB6549"/>
    <w:rsid w:val="00ED2B8D"/>
    <w:rsid w:val="00ED536F"/>
    <w:rsid w:val="00ED7259"/>
    <w:rsid w:val="00EE136A"/>
    <w:rsid w:val="00EE1A51"/>
    <w:rsid w:val="00EF1A04"/>
    <w:rsid w:val="00EF1B8C"/>
    <w:rsid w:val="00EF5A11"/>
    <w:rsid w:val="00F02EA7"/>
    <w:rsid w:val="00F07200"/>
    <w:rsid w:val="00F15AD5"/>
    <w:rsid w:val="00F1781E"/>
    <w:rsid w:val="00F218D7"/>
    <w:rsid w:val="00F25A7F"/>
    <w:rsid w:val="00F309C5"/>
    <w:rsid w:val="00F35B5A"/>
    <w:rsid w:val="00F43B62"/>
    <w:rsid w:val="00F445D1"/>
    <w:rsid w:val="00F51750"/>
    <w:rsid w:val="00F51D18"/>
    <w:rsid w:val="00F6105D"/>
    <w:rsid w:val="00F62665"/>
    <w:rsid w:val="00F6266E"/>
    <w:rsid w:val="00F65AD9"/>
    <w:rsid w:val="00F704F2"/>
    <w:rsid w:val="00F7091F"/>
    <w:rsid w:val="00F7199B"/>
    <w:rsid w:val="00F73D8E"/>
    <w:rsid w:val="00F7405B"/>
    <w:rsid w:val="00F74741"/>
    <w:rsid w:val="00F76E5E"/>
    <w:rsid w:val="00F93BEF"/>
    <w:rsid w:val="00F964C8"/>
    <w:rsid w:val="00FA11C3"/>
    <w:rsid w:val="00FA7C5C"/>
    <w:rsid w:val="00FB10A1"/>
    <w:rsid w:val="00FB235B"/>
    <w:rsid w:val="00FC450A"/>
    <w:rsid w:val="00FD2E97"/>
    <w:rsid w:val="00FD589F"/>
    <w:rsid w:val="00FD62E6"/>
    <w:rsid w:val="00FE0CA4"/>
    <w:rsid w:val="00FE1525"/>
    <w:rsid w:val="00FE4DA1"/>
    <w:rsid w:val="00FE524C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rsid w:val="00B0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rsid w:val="00B0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81</cp:revision>
  <cp:lastPrinted>2020-03-17T15:33:00Z</cp:lastPrinted>
  <dcterms:created xsi:type="dcterms:W3CDTF">2020-02-22T18:55:00Z</dcterms:created>
  <dcterms:modified xsi:type="dcterms:W3CDTF">2020-03-17T15:35:00Z</dcterms:modified>
</cp:coreProperties>
</file>